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18" w:rsidRPr="003D6118" w:rsidRDefault="003D6118" w:rsidP="003D6118">
      <w:pPr>
        <w:spacing w:line="600" w:lineRule="exact"/>
        <w:ind w:firstLineChars="145" w:firstLine="714"/>
        <w:rPr>
          <w:rFonts w:eastAsia="方正小标宋简体"/>
          <w:noProof/>
          <w:w w:val="55"/>
          <w:sz w:val="90"/>
          <w:szCs w:val="90"/>
        </w:rPr>
      </w:pPr>
    </w:p>
    <w:p w:rsidR="003D6118" w:rsidRPr="003D6118" w:rsidRDefault="003D6118" w:rsidP="003D6118">
      <w:pPr>
        <w:spacing w:line="600" w:lineRule="exact"/>
        <w:ind w:firstLineChars="145" w:firstLine="714"/>
        <w:rPr>
          <w:rFonts w:eastAsia="方正小标宋简体"/>
          <w:noProof/>
          <w:w w:val="55"/>
          <w:sz w:val="90"/>
          <w:szCs w:val="90"/>
        </w:rPr>
      </w:pPr>
    </w:p>
    <w:p w:rsidR="003D6118" w:rsidRPr="003D6118" w:rsidRDefault="003D6118" w:rsidP="003D6118">
      <w:pPr>
        <w:spacing w:line="600" w:lineRule="exact"/>
        <w:ind w:firstLineChars="145" w:firstLine="714"/>
        <w:rPr>
          <w:rFonts w:eastAsia="方正小标宋简体"/>
          <w:noProof/>
          <w:w w:val="55"/>
          <w:sz w:val="90"/>
          <w:szCs w:val="90"/>
        </w:rPr>
      </w:pPr>
    </w:p>
    <w:p w:rsidR="003D6118" w:rsidRPr="003D6118" w:rsidRDefault="003D6118" w:rsidP="003D6118">
      <w:pPr>
        <w:spacing w:line="1800" w:lineRule="exact"/>
        <w:jc w:val="center"/>
        <w:rPr>
          <w:rFonts w:eastAsia="方正小标宋简体"/>
          <w:noProof/>
          <w:color w:val="FF0000"/>
          <w:spacing w:val="-20"/>
          <w:w w:val="55"/>
          <w:sz w:val="120"/>
          <w:szCs w:val="120"/>
        </w:rPr>
      </w:pPr>
      <w:r w:rsidRPr="003D6118">
        <w:rPr>
          <w:rFonts w:eastAsia="方正小标宋简体"/>
          <w:noProof/>
          <w:color w:val="FF0000"/>
          <w:spacing w:val="-20"/>
          <w:w w:val="55"/>
          <w:sz w:val="120"/>
          <w:szCs w:val="120"/>
        </w:rPr>
        <w:t>湖南省经济和信息化委员会文件</w:t>
      </w:r>
    </w:p>
    <w:p w:rsidR="003D6118" w:rsidRPr="003D6118" w:rsidRDefault="003D6118" w:rsidP="003D6118">
      <w:pPr>
        <w:spacing w:line="560" w:lineRule="exact"/>
        <w:jc w:val="center"/>
        <w:rPr>
          <w:rFonts w:eastAsia="仿宋"/>
          <w:color w:val="FF0000"/>
          <w:sz w:val="32"/>
          <w:szCs w:val="32"/>
        </w:rPr>
      </w:pPr>
    </w:p>
    <w:p w:rsidR="003D6118" w:rsidRPr="003D6118" w:rsidRDefault="003D6118" w:rsidP="003D6118">
      <w:pPr>
        <w:spacing w:line="720" w:lineRule="exact"/>
        <w:jc w:val="center"/>
        <w:rPr>
          <w:rFonts w:eastAsia="仿宋"/>
          <w:sz w:val="48"/>
          <w:szCs w:val="32"/>
        </w:rPr>
      </w:pPr>
      <w:r w:rsidRPr="003D6118">
        <w:rPr>
          <w:rFonts w:eastAsia="仿宋"/>
          <w:sz w:val="32"/>
        </w:rPr>
        <w:t>湘经信</w:t>
      </w:r>
      <w:r>
        <w:rPr>
          <w:rFonts w:eastAsia="仿宋" w:hint="eastAsia"/>
          <w:sz w:val="32"/>
        </w:rPr>
        <w:t>中小发展</w:t>
      </w:r>
      <w:r w:rsidRPr="003D6118">
        <w:rPr>
          <w:rFonts w:eastAsia="仿宋"/>
          <w:sz w:val="32"/>
        </w:rPr>
        <w:t>〔</w:t>
      </w:r>
      <w:r w:rsidRPr="003D6118">
        <w:rPr>
          <w:rFonts w:eastAsia="仿宋"/>
          <w:sz w:val="32"/>
        </w:rPr>
        <w:t>2018</w:t>
      </w:r>
      <w:r w:rsidRPr="003D6118">
        <w:rPr>
          <w:rFonts w:eastAsia="仿宋"/>
          <w:sz w:val="32"/>
        </w:rPr>
        <w:t>〕</w:t>
      </w:r>
      <w:r>
        <w:rPr>
          <w:rFonts w:eastAsia="仿宋" w:hint="eastAsia"/>
          <w:sz w:val="32"/>
        </w:rPr>
        <w:t>49</w:t>
      </w:r>
      <w:r w:rsidRPr="003D6118">
        <w:rPr>
          <w:rFonts w:eastAsia="仿宋"/>
          <w:sz w:val="32"/>
        </w:rPr>
        <w:t>号</w:t>
      </w:r>
    </w:p>
    <w:p w:rsidR="003D6118" w:rsidRPr="003D6118" w:rsidRDefault="003D6118" w:rsidP="003D6118">
      <w:pPr>
        <w:spacing w:line="600" w:lineRule="exact"/>
        <w:ind w:firstLineChars="100" w:firstLine="760"/>
        <w:rPr>
          <w:rFonts w:eastAsia="方正小标宋简体"/>
          <w:w w:val="90"/>
          <w:sz w:val="76"/>
          <w:szCs w:val="76"/>
        </w:rPr>
      </w:pPr>
      <w:r w:rsidRPr="003D6118">
        <w:rPr>
          <w:rFonts w:eastAsia="方正小标宋简体"/>
          <w:noProof/>
          <w:sz w:val="76"/>
          <w:szCs w:val="76"/>
        </w:rPr>
        <w:pict>
          <v:line id="_x0000_s1026" style="position:absolute;left:0;text-align:left;z-index:251660288" from="-1.4pt,1.6pt" to="460.6pt,1.6pt" strokecolor="red" strokeweight="2pt"/>
        </w:pict>
      </w:r>
    </w:p>
    <w:p w:rsidR="007054F2" w:rsidRPr="003D6118" w:rsidRDefault="007054F2" w:rsidP="003D6118">
      <w:pPr>
        <w:spacing w:line="560" w:lineRule="exact"/>
        <w:jc w:val="center"/>
        <w:rPr>
          <w:rFonts w:eastAsia="方正小标宋简体"/>
          <w:sz w:val="44"/>
          <w:szCs w:val="40"/>
        </w:rPr>
      </w:pPr>
      <w:r w:rsidRPr="003D6118">
        <w:rPr>
          <w:rFonts w:eastAsia="方正小标宋简体"/>
          <w:sz w:val="44"/>
          <w:szCs w:val="40"/>
        </w:rPr>
        <w:t>湖南省经济和信息化委员会</w:t>
      </w:r>
    </w:p>
    <w:p w:rsidR="007054F2" w:rsidRPr="003D6118" w:rsidRDefault="007054F2" w:rsidP="003D6118">
      <w:pPr>
        <w:spacing w:line="560" w:lineRule="exact"/>
        <w:jc w:val="center"/>
        <w:rPr>
          <w:rFonts w:eastAsia="方正小标宋简体"/>
          <w:sz w:val="44"/>
          <w:szCs w:val="40"/>
        </w:rPr>
      </w:pPr>
      <w:r w:rsidRPr="003D6118">
        <w:rPr>
          <w:rFonts w:eastAsia="方正小标宋简体"/>
          <w:sz w:val="44"/>
          <w:szCs w:val="40"/>
        </w:rPr>
        <w:t>关于</w:t>
      </w:r>
      <w:r w:rsidR="00832509" w:rsidRPr="003D6118">
        <w:rPr>
          <w:rFonts w:eastAsia="方正小标宋简体"/>
          <w:sz w:val="44"/>
          <w:szCs w:val="40"/>
        </w:rPr>
        <w:t>做好</w:t>
      </w:r>
      <w:r w:rsidRPr="003D6118">
        <w:rPr>
          <w:rFonts w:eastAsia="方正小标宋简体"/>
          <w:sz w:val="44"/>
          <w:szCs w:val="40"/>
        </w:rPr>
        <w:t>2018</w:t>
      </w:r>
      <w:r w:rsidRPr="003D6118">
        <w:rPr>
          <w:rFonts w:eastAsia="方正小标宋简体"/>
          <w:sz w:val="44"/>
          <w:szCs w:val="40"/>
        </w:rPr>
        <w:t>年小巨人企业培育工作的通知</w:t>
      </w:r>
    </w:p>
    <w:p w:rsidR="007054F2" w:rsidRPr="003D6118" w:rsidRDefault="007054F2" w:rsidP="003D6118">
      <w:pPr>
        <w:spacing w:line="560" w:lineRule="exact"/>
        <w:rPr>
          <w:rFonts w:eastAsia="仿宋_GB2312"/>
          <w:sz w:val="32"/>
          <w:szCs w:val="32"/>
        </w:rPr>
      </w:pPr>
    </w:p>
    <w:p w:rsidR="007054F2" w:rsidRPr="003D6118" w:rsidRDefault="007054F2" w:rsidP="003D6118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各市州经信委：</w:t>
      </w:r>
    </w:p>
    <w:p w:rsidR="007054F2" w:rsidRPr="003D6118" w:rsidRDefault="007D5B5F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为</w:t>
      </w:r>
      <w:r w:rsidR="0082595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认真</w:t>
      </w:r>
      <w:r w:rsidR="0052090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落实省政府工作报告</w:t>
      </w:r>
      <w:r w:rsidR="0082595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部署</w:t>
      </w:r>
      <w:r w:rsidR="0052090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深入</w:t>
      </w:r>
      <w:r w:rsidR="00CD7C3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推动</w:t>
      </w:r>
      <w:r w:rsidR="0082595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“</w:t>
      </w:r>
      <w:r w:rsidR="0082595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专精特新</w:t>
      </w:r>
      <w:r w:rsidR="0082595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”</w:t>
      </w:r>
      <w:r w:rsidR="00CD7C3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小巨人企业培育工作，努力将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小巨人企业打造成湖南</w:t>
      </w:r>
      <w:r w:rsidR="003C494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制造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业品牌</w:t>
      </w:r>
      <w:r w:rsidR="00141BC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现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就</w:t>
      </w:r>
      <w:r w:rsidR="007054F2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做好</w:t>
      </w:r>
      <w:r w:rsidR="007054F2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2018</w:t>
      </w:r>
      <w:r w:rsidR="007054F2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年小巨人企业培育工作有关事项通知如下：</w:t>
      </w:r>
    </w:p>
    <w:p w:rsidR="007054F2" w:rsidRPr="003D6118" w:rsidRDefault="007054F2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黑体" w:hAnsi="Times New Roman"/>
          <w:noProof/>
          <w:color w:val="auto"/>
          <w:kern w:val="2"/>
          <w:sz w:val="32"/>
          <w:szCs w:val="32"/>
        </w:rPr>
        <w:t>一、培育</w:t>
      </w:r>
      <w:r w:rsidR="00825951" w:rsidRPr="003D6118">
        <w:rPr>
          <w:rFonts w:ascii="Times New Roman" w:eastAsia="黑体" w:hAnsi="Times New Roman"/>
          <w:noProof/>
          <w:color w:val="auto"/>
          <w:kern w:val="2"/>
          <w:sz w:val="32"/>
          <w:szCs w:val="32"/>
        </w:rPr>
        <w:t>重点</w:t>
      </w:r>
    </w:p>
    <w:p w:rsidR="007054F2" w:rsidRPr="003D6118" w:rsidRDefault="00825951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培育对象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应</w:t>
      </w:r>
      <w:r w:rsidR="007054F2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符合《湖南省小巨人企业培育计划实施方案》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（湘经信中小发展</w:t>
      </w:r>
      <w:r w:rsidR="003D6118">
        <w:rPr>
          <w:rFonts w:ascii="Times New Roman" w:eastAsia="仿宋_GB2312" w:hAnsi="Times New Roman" w:hint="eastAsia"/>
          <w:noProof/>
          <w:color w:val="auto"/>
          <w:kern w:val="2"/>
          <w:sz w:val="32"/>
          <w:szCs w:val="32"/>
        </w:rPr>
        <w:t>〔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2017</w:t>
      </w:r>
      <w:r w:rsidR="003D6118">
        <w:rPr>
          <w:rFonts w:ascii="Times New Roman" w:eastAsia="仿宋_GB2312" w:hAnsi="Times New Roman" w:hint="eastAsia"/>
          <w:noProof/>
          <w:color w:val="auto"/>
          <w:kern w:val="2"/>
          <w:sz w:val="32"/>
          <w:szCs w:val="32"/>
        </w:rPr>
        <w:t>〕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274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号）</w:t>
      </w:r>
      <w:r w:rsidR="009F4400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规定的</w:t>
      </w:r>
      <w:r w:rsidR="007054F2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申报要求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，突出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以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下</w:t>
      </w:r>
      <w:r w:rsidR="00903EC7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培育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重点：</w:t>
      </w:r>
    </w:p>
    <w:p w:rsidR="00825951" w:rsidRPr="003D6118" w:rsidRDefault="00825951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（一）符合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“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专精特新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”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发展方向，有可能成为细分领域单项冠军的</w:t>
      </w:r>
      <w:r w:rsidR="00F92F4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中小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企业；</w:t>
      </w:r>
    </w:p>
    <w:p w:rsidR="007054F2" w:rsidRPr="003D6118" w:rsidRDefault="00405685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lastRenderedPageBreak/>
        <w:t>（二）</w:t>
      </w:r>
      <w:r w:rsidR="004F5B95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符合制造强省建设总体要求，</w:t>
      </w:r>
      <w:r w:rsidR="00CC491D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属于制造强省重点产业和</w:t>
      </w:r>
      <w:r w:rsidR="007C6AD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工业</w:t>
      </w:r>
      <w:r w:rsidR="007054F2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新兴优势产业链</w:t>
      </w:r>
      <w:r w:rsidR="003C7BE0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的</w:t>
      </w:r>
      <w:r w:rsidR="00F92F4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中小</w:t>
      </w:r>
      <w:r w:rsidR="003C7BE0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企业</w:t>
      </w:r>
      <w:r w:rsidR="00A75CD9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；</w:t>
      </w:r>
    </w:p>
    <w:p w:rsidR="007054F2" w:rsidRPr="003D6118" w:rsidRDefault="00405685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（三）</w:t>
      </w:r>
      <w:r w:rsidR="00541519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符合</w:t>
      </w:r>
      <w:r w:rsidR="007054F2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企业发展成长性、生产工艺创新性、配套发展融通性、产品区域特色性、产业政策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符</w:t>
      </w:r>
      <w:r w:rsidR="007054F2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合性等</w:t>
      </w:r>
      <w:r w:rsidR="00F92F4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属性</w:t>
      </w:r>
      <w:r w:rsidR="007054F2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特征</w:t>
      </w:r>
      <w:r w:rsidR="00A75CD9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的</w:t>
      </w:r>
      <w:r w:rsidR="00F92F4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中小</w:t>
      </w:r>
      <w:r w:rsidR="00A75CD9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企业</w:t>
      </w:r>
      <w:r w:rsidR="007054F2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。</w:t>
      </w:r>
    </w:p>
    <w:p w:rsidR="007054F2" w:rsidRPr="003D6118" w:rsidRDefault="007054F2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黑体" w:hAnsi="Times New Roman"/>
          <w:noProof/>
          <w:color w:val="auto"/>
          <w:kern w:val="2"/>
          <w:sz w:val="32"/>
          <w:szCs w:val="32"/>
        </w:rPr>
        <w:t>二、</w:t>
      </w:r>
      <w:r w:rsidR="00665214" w:rsidRPr="003D6118">
        <w:rPr>
          <w:rFonts w:ascii="Times New Roman" w:eastAsia="黑体" w:hAnsi="Times New Roman"/>
          <w:noProof/>
          <w:color w:val="auto"/>
          <w:kern w:val="2"/>
          <w:sz w:val="32"/>
          <w:szCs w:val="32"/>
        </w:rPr>
        <w:t>培育措施</w:t>
      </w:r>
    </w:p>
    <w:p w:rsidR="007054F2" w:rsidRPr="003D6118" w:rsidRDefault="007054F2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（</w:t>
      </w:r>
      <w:r w:rsidR="000F27AC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一</w:t>
      </w: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）</w:t>
      </w:r>
      <w:r w:rsidR="00DF6B55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推动企业</w:t>
      </w:r>
      <w:r w:rsidR="00DF6B55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“</w:t>
      </w:r>
      <w:r w:rsidR="00DF6B55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上云</w:t>
      </w:r>
      <w:r w:rsidR="00DF6B55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”</w:t>
      </w:r>
      <w:r w:rsidR="00DF6B55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。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加快推动</w:t>
      </w:r>
      <w:r w:rsidR="003145E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中小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企业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“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上云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”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步伐，鼓励</w:t>
      </w:r>
      <w:r w:rsidR="003145E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中小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企业业务系统向云端迁移，</w:t>
      </w:r>
      <w:r w:rsidR="0097126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引导</w:t>
      </w:r>
      <w:r w:rsidR="003145E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小巨人</w:t>
      </w:r>
      <w:r w:rsidR="0097126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后备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企业在研发设计、生产制造、运营管理等环节应用互联网、云计算、大数据、人工智能等现代技术手段，创新生产方式，提高生产经营效率。</w:t>
      </w:r>
    </w:p>
    <w:p w:rsidR="007054F2" w:rsidRPr="003D6118" w:rsidRDefault="007054F2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（</w:t>
      </w:r>
      <w:r w:rsidR="000F27AC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二</w:t>
      </w: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）</w:t>
      </w:r>
      <w:r w:rsidR="00DF6B55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推动管理创新。</w:t>
      </w:r>
      <w:r w:rsidR="00043533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开展</w:t>
      </w:r>
      <w:r w:rsidR="000161EE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中小企业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管理创新</w:t>
      </w:r>
      <w:r w:rsidR="000161EE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行动</w:t>
      </w:r>
      <w:r w:rsidR="00DF6B55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="0097126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帮助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企业完善产权制度，规范治理结构，提升经营管理水平</w:t>
      </w:r>
      <w:r w:rsidR="0097126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，激发创新发展内生动力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。支持</w:t>
      </w:r>
      <w:r w:rsidR="003145E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小巨人</w:t>
      </w:r>
      <w:r w:rsidR="0097126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后备</w:t>
      </w:r>
      <w:r w:rsidR="003145E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企业进行资本的多元化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改造，引进外部战略投资，实施股权激励，实现企业产权多元化；支持</w:t>
      </w:r>
      <w:r w:rsidR="003145E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小巨人后备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企业优化业务流程和组织结构，完善管理决策机制</w:t>
      </w:r>
      <w:r w:rsidR="003145E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实行精益生产</w:t>
      </w:r>
      <w:r w:rsidR="003145E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创新商业模式</w:t>
      </w:r>
      <w:r w:rsidR="003145E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加强风险管控</w:t>
      </w:r>
      <w:r w:rsidR="003145E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优化绩效激励</w:t>
      </w:r>
      <w:r w:rsidR="003145E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建设企业文化</w:t>
      </w:r>
      <w:r w:rsidR="00C269DD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。</w:t>
      </w:r>
    </w:p>
    <w:p w:rsidR="00630279" w:rsidRPr="003D6118" w:rsidRDefault="000F27AC" w:rsidP="003D6118">
      <w:pPr>
        <w:spacing w:line="560" w:lineRule="exact"/>
        <w:ind w:firstLineChars="150" w:firstLine="480"/>
        <w:rPr>
          <w:rFonts w:eastAsia="仿宋_GB2312"/>
          <w:noProof/>
          <w:sz w:val="32"/>
          <w:szCs w:val="32"/>
        </w:rPr>
      </w:pPr>
      <w:r w:rsidRPr="003D6118">
        <w:rPr>
          <w:rFonts w:eastAsia="楷体"/>
          <w:noProof/>
          <w:sz w:val="32"/>
          <w:szCs w:val="32"/>
        </w:rPr>
        <w:t>（三）</w:t>
      </w:r>
      <w:r w:rsidR="002C1D21" w:rsidRPr="003D6118">
        <w:rPr>
          <w:rFonts w:eastAsia="楷体"/>
          <w:noProof/>
          <w:sz w:val="32"/>
          <w:szCs w:val="32"/>
        </w:rPr>
        <w:t>推动</w:t>
      </w:r>
      <w:r w:rsidR="00DF6B55" w:rsidRPr="003D6118">
        <w:rPr>
          <w:rFonts w:eastAsia="楷体"/>
          <w:noProof/>
          <w:sz w:val="32"/>
          <w:szCs w:val="32"/>
        </w:rPr>
        <w:t>融通发展</w:t>
      </w:r>
      <w:r w:rsidRPr="003D6118">
        <w:rPr>
          <w:rFonts w:eastAsia="仿宋_GB2312"/>
          <w:noProof/>
          <w:sz w:val="32"/>
          <w:szCs w:val="32"/>
        </w:rPr>
        <w:t>。充分发挥</w:t>
      </w:r>
      <w:r w:rsidR="00263BEE" w:rsidRPr="003D6118">
        <w:rPr>
          <w:rFonts w:eastAsia="仿宋_GB2312"/>
          <w:noProof/>
          <w:sz w:val="32"/>
          <w:szCs w:val="32"/>
        </w:rPr>
        <w:t>大</w:t>
      </w:r>
      <w:r w:rsidRPr="003D6118">
        <w:rPr>
          <w:rFonts w:eastAsia="仿宋_GB2312"/>
          <w:noProof/>
          <w:sz w:val="32"/>
          <w:szCs w:val="32"/>
        </w:rPr>
        <w:t>企业的带动引领作用，促进小巨人</w:t>
      </w:r>
      <w:r w:rsidR="00263BEE" w:rsidRPr="003D6118">
        <w:rPr>
          <w:rFonts w:eastAsia="仿宋_GB2312"/>
          <w:noProof/>
          <w:sz w:val="32"/>
          <w:szCs w:val="32"/>
        </w:rPr>
        <w:t>后备</w:t>
      </w:r>
      <w:r w:rsidRPr="003D6118">
        <w:rPr>
          <w:rFonts w:eastAsia="仿宋_GB2312"/>
          <w:noProof/>
          <w:sz w:val="32"/>
          <w:szCs w:val="32"/>
        </w:rPr>
        <w:t>企业与</w:t>
      </w:r>
      <w:r w:rsidR="00263BEE" w:rsidRPr="003D6118">
        <w:rPr>
          <w:rFonts w:eastAsia="仿宋_GB2312"/>
          <w:noProof/>
          <w:sz w:val="32"/>
          <w:szCs w:val="32"/>
        </w:rPr>
        <w:t>大</w:t>
      </w:r>
      <w:r w:rsidRPr="003D6118">
        <w:rPr>
          <w:rFonts w:eastAsia="仿宋_GB2312"/>
          <w:noProof/>
          <w:sz w:val="32"/>
          <w:szCs w:val="32"/>
        </w:rPr>
        <w:t>企业分工协作，引导中小企业主动融入制造强省建设和工业新兴优势产业链发展，积极参与建链、补链、强链，延伸产业链条，提升区域产业配套能力。</w:t>
      </w:r>
    </w:p>
    <w:p w:rsidR="00630279" w:rsidRPr="003D6118" w:rsidRDefault="00630279" w:rsidP="003D6118">
      <w:pPr>
        <w:spacing w:line="560" w:lineRule="exact"/>
        <w:ind w:firstLineChars="150" w:firstLine="480"/>
        <w:rPr>
          <w:rFonts w:eastAsia="仿宋_GB2312"/>
          <w:noProof/>
          <w:sz w:val="32"/>
          <w:szCs w:val="32"/>
        </w:rPr>
      </w:pPr>
      <w:r w:rsidRPr="003D6118">
        <w:rPr>
          <w:rFonts w:eastAsia="楷体"/>
          <w:noProof/>
          <w:sz w:val="32"/>
          <w:szCs w:val="32"/>
        </w:rPr>
        <w:t>（四）推动创新创业。</w:t>
      </w:r>
      <w:r w:rsidRPr="003D6118">
        <w:rPr>
          <w:rFonts w:eastAsia="仿宋_GB2312"/>
          <w:noProof/>
          <w:sz w:val="32"/>
          <w:szCs w:val="32"/>
        </w:rPr>
        <w:t>积极引导和鼓励企业参加</w:t>
      </w:r>
      <w:r w:rsidRPr="003D6118">
        <w:rPr>
          <w:rFonts w:eastAsia="仿宋_GB2312"/>
          <w:noProof/>
          <w:sz w:val="32"/>
          <w:szCs w:val="32"/>
        </w:rPr>
        <w:t>2018</w:t>
      </w:r>
      <w:r w:rsidRPr="003D6118">
        <w:rPr>
          <w:rFonts w:eastAsia="仿宋_GB2312"/>
          <w:noProof/>
          <w:sz w:val="32"/>
          <w:szCs w:val="32"/>
        </w:rPr>
        <w:t>年</w:t>
      </w:r>
      <w:r w:rsidR="003D6118" w:rsidRPr="003D6118">
        <w:rPr>
          <w:rFonts w:eastAsia="仿宋_GB2312"/>
          <w:noProof/>
          <w:sz w:val="32"/>
          <w:szCs w:val="32"/>
        </w:rPr>
        <w:t>“</w:t>
      </w:r>
      <w:r w:rsidRPr="003D6118">
        <w:rPr>
          <w:rFonts w:eastAsia="仿宋_GB2312"/>
          <w:noProof/>
          <w:sz w:val="32"/>
          <w:szCs w:val="32"/>
        </w:rPr>
        <w:t>创客中国</w:t>
      </w:r>
      <w:r w:rsidRPr="003D6118">
        <w:rPr>
          <w:rFonts w:eastAsia="仿宋_GB2312"/>
          <w:noProof/>
          <w:sz w:val="32"/>
          <w:szCs w:val="32"/>
        </w:rPr>
        <w:t>”</w:t>
      </w:r>
      <w:r w:rsidRPr="003D6118">
        <w:rPr>
          <w:rFonts w:eastAsia="仿宋_GB2312"/>
          <w:noProof/>
          <w:sz w:val="32"/>
          <w:szCs w:val="32"/>
        </w:rPr>
        <w:t>湖南省中小微企业创新创业大赛，激发创新潜力，集聚创业资源，营造</w:t>
      </w:r>
      <w:r w:rsidRPr="003D6118">
        <w:rPr>
          <w:rFonts w:eastAsia="仿宋_GB2312"/>
          <w:noProof/>
          <w:sz w:val="32"/>
          <w:szCs w:val="32"/>
        </w:rPr>
        <w:t>“</w:t>
      </w:r>
      <w:r w:rsidRPr="003D6118">
        <w:rPr>
          <w:rFonts w:eastAsia="仿宋_GB2312"/>
          <w:noProof/>
          <w:sz w:val="32"/>
          <w:szCs w:val="32"/>
        </w:rPr>
        <w:t>双创</w:t>
      </w:r>
      <w:r w:rsidRPr="003D6118">
        <w:rPr>
          <w:rFonts w:eastAsia="仿宋_GB2312"/>
          <w:noProof/>
          <w:sz w:val="32"/>
          <w:szCs w:val="32"/>
        </w:rPr>
        <w:t>”</w:t>
      </w:r>
      <w:r w:rsidRPr="003D6118">
        <w:rPr>
          <w:rFonts w:eastAsia="仿宋_GB2312"/>
          <w:noProof/>
          <w:sz w:val="32"/>
          <w:szCs w:val="32"/>
        </w:rPr>
        <w:t>氛围，打造为中小微企业提供交流展示、项目</w:t>
      </w:r>
      <w:r w:rsidRPr="003D6118">
        <w:rPr>
          <w:rFonts w:eastAsia="仿宋_GB2312"/>
          <w:noProof/>
          <w:sz w:val="32"/>
          <w:szCs w:val="32"/>
        </w:rPr>
        <w:lastRenderedPageBreak/>
        <w:t>孵化、大企业产业对接的平台，发掘和培育一批</w:t>
      </w:r>
      <w:r w:rsidRPr="003D6118">
        <w:rPr>
          <w:rFonts w:eastAsia="仿宋_GB2312"/>
          <w:noProof/>
          <w:sz w:val="32"/>
          <w:szCs w:val="32"/>
        </w:rPr>
        <w:t>“</w:t>
      </w:r>
      <w:r w:rsidRPr="003D6118">
        <w:rPr>
          <w:rFonts w:eastAsia="仿宋_GB2312"/>
          <w:noProof/>
          <w:sz w:val="32"/>
          <w:szCs w:val="32"/>
        </w:rPr>
        <w:t>双创</w:t>
      </w:r>
      <w:r w:rsidRPr="003D6118">
        <w:rPr>
          <w:rFonts w:eastAsia="仿宋_GB2312"/>
          <w:noProof/>
          <w:sz w:val="32"/>
          <w:szCs w:val="32"/>
        </w:rPr>
        <w:t>”</w:t>
      </w:r>
      <w:r w:rsidRPr="003D6118">
        <w:rPr>
          <w:rFonts w:eastAsia="仿宋_GB2312"/>
          <w:noProof/>
          <w:sz w:val="32"/>
          <w:szCs w:val="32"/>
        </w:rPr>
        <w:t>优秀项目和优秀团队，催生新产品、新技术、新模式和新业态</w:t>
      </w:r>
      <w:r w:rsidR="00072BCC" w:rsidRPr="003D6118">
        <w:rPr>
          <w:rFonts w:eastAsia="仿宋_GB2312"/>
          <w:noProof/>
          <w:sz w:val="32"/>
          <w:szCs w:val="32"/>
        </w:rPr>
        <w:t>。</w:t>
      </w:r>
    </w:p>
    <w:p w:rsidR="007A622E" w:rsidRPr="003D6118" w:rsidRDefault="0063412D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（</w:t>
      </w:r>
      <w:r w:rsidR="00072BCC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五</w:t>
      </w: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）加强产融对接。</w:t>
      </w:r>
      <w:r w:rsidR="0036309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重点针对小巨人后备企业融资需求，组织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开展产融合作，</w:t>
      </w:r>
      <w:r w:rsidR="0036309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增强金融服务小巨人后备企业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精准性</w:t>
      </w:r>
      <w:r w:rsidR="0036309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="002D5047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促进</w:t>
      </w:r>
      <w:r w:rsidR="0036309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小巨人</w:t>
      </w:r>
      <w:r w:rsidR="002D5047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企业</w:t>
      </w:r>
      <w:r w:rsidR="0036309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发展壮大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。完善产融合作工作协调机制</w:t>
      </w:r>
      <w:r w:rsidR="0036309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建立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产融合作制造业重点企业名单制度和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产融信息对接服务平台</w:t>
      </w:r>
      <w:r w:rsidR="0036309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开展投融资对接活动</w:t>
      </w:r>
      <w:r w:rsidR="0036309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推动建立</w:t>
      </w:r>
      <w:r w:rsidR="0036309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小巨人后备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企业助保贷和应急转贷机制。</w:t>
      </w:r>
    </w:p>
    <w:p w:rsidR="00072BCC" w:rsidRPr="003D6118" w:rsidRDefault="007A622E" w:rsidP="003D6118">
      <w:pPr>
        <w:spacing w:line="560" w:lineRule="exact"/>
        <w:ind w:firstLineChars="150" w:firstLine="480"/>
        <w:rPr>
          <w:rFonts w:eastAsia="仿宋_GB2312"/>
          <w:noProof/>
          <w:sz w:val="32"/>
          <w:szCs w:val="32"/>
        </w:rPr>
      </w:pPr>
      <w:r w:rsidRPr="003D6118">
        <w:rPr>
          <w:rFonts w:eastAsia="楷体"/>
          <w:noProof/>
          <w:sz w:val="32"/>
          <w:szCs w:val="32"/>
        </w:rPr>
        <w:t>（</w:t>
      </w:r>
      <w:r w:rsidR="00072BCC" w:rsidRPr="003D6118">
        <w:rPr>
          <w:rFonts w:eastAsia="楷体"/>
          <w:noProof/>
          <w:sz w:val="32"/>
          <w:szCs w:val="32"/>
        </w:rPr>
        <w:t>六</w:t>
      </w:r>
      <w:r w:rsidRPr="003D6118">
        <w:rPr>
          <w:rFonts w:eastAsia="楷体"/>
          <w:noProof/>
          <w:sz w:val="32"/>
          <w:szCs w:val="32"/>
        </w:rPr>
        <w:t>）加强政策引导。</w:t>
      </w:r>
      <w:r w:rsidR="00B31A92" w:rsidRPr="003D6118">
        <w:rPr>
          <w:rFonts w:eastAsia="仿宋_GB2312"/>
          <w:noProof/>
          <w:sz w:val="32"/>
          <w:szCs w:val="32"/>
        </w:rPr>
        <w:t>持续</w:t>
      </w:r>
      <w:r w:rsidR="00072BCC" w:rsidRPr="003D6118">
        <w:rPr>
          <w:rFonts w:eastAsia="仿宋_GB2312"/>
          <w:noProof/>
          <w:sz w:val="32"/>
          <w:szCs w:val="32"/>
        </w:rPr>
        <w:t>开展</w:t>
      </w:r>
      <w:r w:rsidR="00072BCC" w:rsidRPr="003D6118">
        <w:rPr>
          <w:rFonts w:eastAsia="仿宋_GB2312"/>
          <w:noProof/>
          <w:sz w:val="32"/>
          <w:szCs w:val="32"/>
        </w:rPr>
        <w:t>“</w:t>
      </w:r>
      <w:r w:rsidR="00072BCC" w:rsidRPr="003D6118">
        <w:rPr>
          <w:rFonts w:eastAsia="仿宋_GB2312"/>
          <w:noProof/>
          <w:sz w:val="32"/>
          <w:szCs w:val="32"/>
        </w:rPr>
        <w:t>精准服务进园区活动</w:t>
      </w:r>
      <w:r w:rsidR="00072BCC" w:rsidRPr="003D6118">
        <w:rPr>
          <w:rFonts w:eastAsia="仿宋_GB2312"/>
          <w:noProof/>
          <w:sz w:val="32"/>
          <w:szCs w:val="32"/>
        </w:rPr>
        <w:t>”</w:t>
      </w:r>
      <w:r w:rsidR="00072BCC" w:rsidRPr="003D6118">
        <w:rPr>
          <w:rFonts w:eastAsia="仿宋_GB2312"/>
          <w:noProof/>
          <w:sz w:val="32"/>
          <w:szCs w:val="32"/>
        </w:rPr>
        <w:t>，重点围绕转型升级、技术创新、市场营销、法律风险防范、投资融资等方面开展</w:t>
      </w:r>
      <w:r w:rsidR="00204EC1" w:rsidRPr="003D6118">
        <w:rPr>
          <w:rFonts w:eastAsia="仿宋_GB2312"/>
          <w:noProof/>
          <w:sz w:val="32"/>
          <w:szCs w:val="32"/>
        </w:rPr>
        <w:t>政策咨询</w:t>
      </w:r>
      <w:r w:rsidR="00072BCC" w:rsidRPr="003D6118">
        <w:rPr>
          <w:rFonts w:eastAsia="仿宋_GB2312"/>
          <w:noProof/>
          <w:sz w:val="32"/>
          <w:szCs w:val="32"/>
        </w:rPr>
        <w:t>服务</w:t>
      </w:r>
      <w:r w:rsidR="00204EC1" w:rsidRPr="003D6118">
        <w:rPr>
          <w:rFonts w:eastAsia="仿宋_GB2312"/>
          <w:noProof/>
          <w:sz w:val="32"/>
          <w:szCs w:val="32"/>
        </w:rPr>
        <w:t>，</w:t>
      </w:r>
      <w:r w:rsidR="00072BCC" w:rsidRPr="003D6118">
        <w:rPr>
          <w:rFonts w:eastAsia="仿宋_GB2312"/>
          <w:noProof/>
          <w:sz w:val="32"/>
          <w:szCs w:val="32"/>
        </w:rPr>
        <w:t>着力帮助企业提高创新能力和经营管理水平</w:t>
      </w:r>
      <w:r w:rsidR="00C76B6F" w:rsidRPr="003D6118">
        <w:rPr>
          <w:rFonts w:eastAsia="仿宋_GB2312"/>
          <w:noProof/>
          <w:sz w:val="32"/>
          <w:szCs w:val="32"/>
        </w:rPr>
        <w:t>。各级</w:t>
      </w:r>
      <w:r w:rsidRPr="003D6118">
        <w:rPr>
          <w:rFonts w:eastAsia="仿宋_GB2312"/>
          <w:noProof/>
          <w:sz w:val="32"/>
          <w:szCs w:val="32"/>
        </w:rPr>
        <w:t>中小企业发展专项资金</w:t>
      </w:r>
      <w:r w:rsidR="00C76B6F" w:rsidRPr="003D6118">
        <w:rPr>
          <w:rFonts w:eastAsia="仿宋_GB2312"/>
          <w:noProof/>
          <w:sz w:val="32"/>
          <w:szCs w:val="32"/>
        </w:rPr>
        <w:t>要</w:t>
      </w:r>
      <w:r w:rsidRPr="003D6118">
        <w:rPr>
          <w:rFonts w:eastAsia="仿宋_GB2312"/>
          <w:noProof/>
          <w:sz w:val="32"/>
          <w:szCs w:val="32"/>
        </w:rPr>
        <w:t>对小巨人企业项目，给予重点支持；符合</w:t>
      </w:r>
      <w:r w:rsidR="00C76B6F" w:rsidRPr="003D6118">
        <w:rPr>
          <w:rFonts w:eastAsia="仿宋_GB2312"/>
          <w:noProof/>
          <w:sz w:val="32"/>
          <w:szCs w:val="32"/>
        </w:rPr>
        <w:t>各级工业发展相关</w:t>
      </w:r>
      <w:r w:rsidRPr="003D6118">
        <w:rPr>
          <w:rFonts w:eastAsia="仿宋_GB2312"/>
          <w:noProof/>
          <w:sz w:val="32"/>
          <w:szCs w:val="32"/>
        </w:rPr>
        <w:t>专项资金支持条件小巨人企业的项目，要予以重点推荐</w:t>
      </w:r>
      <w:r w:rsidR="00C76B6F" w:rsidRPr="003D6118">
        <w:rPr>
          <w:rFonts w:eastAsia="仿宋_GB2312"/>
          <w:noProof/>
          <w:sz w:val="32"/>
          <w:szCs w:val="32"/>
        </w:rPr>
        <w:t>。</w:t>
      </w:r>
      <w:r w:rsidRPr="003D6118">
        <w:rPr>
          <w:rFonts w:eastAsia="仿宋_GB2312"/>
          <w:noProof/>
          <w:sz w:val="32"/>
          <w:szCs w:val="32"/>
        </w:rPr>
        <w:t>在</w:t>
      </w:r>
      <w:r w:rsidR="00204EC1" w:rsidRPr="003D6118">
        <w:rPr>
          <w:rFonts w:eastAsia="仿宋_GB2312"/>
          <w:noProof/>
          <w:sz w:val="32"/>
          <w:szCs w:val="32"/>
        </w:rPr>
        <w:t>相关资质认定、考核表彰</w:t>
      </w:r>
      <w:r w:rsidR="00C76B6F" w:rsidRPr="003D6118">
        <w:rPr>
          <w:rFonts w:eastAsia="仿宋_GB2312"/>
          <w:noProof/>
          <w:sz w:val="32"/>
          <w:szCs w:val="32"/>
        </w:rPr>
        <w:t>等</w:t>
      </w:r>
      <w:r w:rsidR="00204EC1" w:rsidRPr="003D6118">
        <w:rPr>
          <w:rFonts w:eastAsia="仿宋_GB2312"/>
          <w:noProof/>
          <w:sz w:val="32"/>
          <w:szCs w:val="32"/>
        </w:rPr>
        <w:t>工作中，对符合条件的小巨人企业予以优先支持</w:t>
      </w:r>
      <w:r w:rsidR="00072BCC" w:rsidRPr="003D6118">
        <w:rPr>
          <w:rFonts w:eastAsia="楷体"/>
          <w:noProof/>
          <w:sz w:val="32"/>
          <w:szCs w:val="32"/>
        </w:rPr>
        <w:t>。</w:t>
      </w:r>
    </w:p>
    <w:p w:rsidR="00405685" w:rsidRPr="003D6118" w:rsidRDefault="009B56BA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黑体" w:hAnsi="Times New Roman"/>
          <w:noProof/>
          <w:color w:val="auto"/>
          <w:kern w:val="2"/>
          <w:sz w:val="32"/>
          <w:szCs w:val="32"/>
        </w:rPr>
        <w:t>三</w:t>
      </w:r>
      <w:r w:rsidR="00405685" w:rsidRPr="003D6118">
        <w:rPr>
          <w:rFonts w:ascii="Times New Roman" w:eastAsia="黑体" w:hAnsi="Times New Roman"/>
          <w:noProof/>
          <w:color w:val="auto"/>
          <w:kern w:val="2"/>
          <w:sz w:val="32"/>
          <w:szCs w:val="32"/>
        </w:rPr>
        <w:t>、</w:t>
      </w:r>
      <w:r w:rsidR="001D206A" w:rsidRPr="003D6118">
        <w:rPr>
          <w:rFonts w:ascii="Times New Roman" w:eastAsia="黑体" w:hAnsi="Times New Roman"/>
          <w:noProof/>
          <w:color w:val="auto"/>
          <w:kern w:val="2"/>
          <w:sz w:val="32"/>
          <w:szCs w:val="32"/>
        </w:rPr>
        <w:t>工作</w:t>
      </w:r>
      <w:r w:rsidR="00405685" w:rsidRPr="003D6118">
        <w:rPr>
          <w:rFonts w:ascii="Times New Roman" w:eastAsia="黑体" w:hAnsi="Times New Roman"/>
          <w:noProof/>
          <w:color w:val="auto"/>
          <w:kern w:val="2"/>
          <w:sz w:val="32"/>
          <w:szCs w:val="32"/>
        </w:rPr>
        <w:t>要求</w:t>
      </w:r>
    </w:p>
    <w:p w:rsidR="00084192" w:rsidRPr="003D6118" w:rsidRDefault="008A5CC3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（一）</w:t>
      </w:r>
      <w:r w:rsidR="00622614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加强</w:t>
      </w:r>
      <w:r w:rsidR="00D21D38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组织</w:t>
      </w:r>
      <w:r w:rsidR="001D206A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领导</w:t>
      </w: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。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各市州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经信部门要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切实加强组织领导</w:t>
      </w:r>
      <w:r w:rsidR="0062261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统筹协调</w:t>
      </w:r>
      <w:r w:rsidR="0062261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本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区域</w:t>
      </w:r>
      <w:r w:rsidR="0062261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小巨人培育工作</w:t>
      </w:r>
      <w:r w:rsidR="00C76B6F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。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要深入县市区、产业园区、有关企业进行</w:t>
      </w:r>
      <w:r w:rsidR="00D21D38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实地</w:t>
      </w:r>
      <w:r w:rsidR="0062261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调研</w:t>
      </w:r>
      <w:r w:rsidR="00D21D38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="00025D7E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积极做好筛选</w:t>
      </w:r>
      <w:r w:rsidR="005A026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推荐</w:t>
      </w:r>
      <w:r w:rsidR="001D206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和</w:t>
      </w:r>
      <w:r w:rsidR="00084192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储备</w:t>
      </w:r>
      <w:r w:rsidR="00025D7E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工作</w:t>
      </w:r>
      <w:r w:rsidR="0062261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。</w:t>
      </w:r>
    </w:p>
    <w:p w:rsidR="0063412D" w:rsidRPr="003D6118" w:rsidRDefault="00084192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（二）</w:t>
      </w:r>
      <w:r w:rsidR="00957B63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突出</w:t>
      </w:r>
      <w:r w:rsidR="00204EC1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“</w:t>
      </w:r>
      <w:r w:rsidR="00204EC1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专精特新</w:t>
      </w:r>
      <w:r w:rsidR="00204EC1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”</w:t>
      </w: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。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小巨人后备企业不向各市州分配名额，</w:t>
      </w:r>
      <w:r w:rsidR="00957B63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各市州</w:t>
      </w:r>
      <w:r w:rsidR="005A026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应</w:t>
      </w:r>
      <w:r w:rsidR="00957B63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根据当地</w:t>
      </w:r>
      <w:r w:rsidR="003C494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产业</w:t>
      </w:r>
      <w:r w:rsidR="005A026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特色</w:t>
      </w:r>
      <w:r w:rsidR="00957B63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和中小企业发展实际情况，突出</w:t>
      </w:r>
      <w:r w:rsidR="00204EC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“</w:t>
      </w:r>
      <w:r w:rsidR="00204EC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专精特新</w:t>
      </w:r>
      <w:r w:rsidR="00204EC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”</w:t>
      </w:r>
      <w:r w:rsidR="00204EC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发展方向</w:t>
      </w:r>
      <w:r w:rsidR="00957B63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，统筹</w:t>
      </w:r>
      <w:r w:rsidR="005A026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安排</w:t>
      </w:r>
      <w:r w:rsidR="00A25B3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市州</w:t>
      </w:r>
      <w:r w:rsidR="00957B63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本级和所辖县市区小巨人企业</w:t>
      </w:r>
      <w:r w:rsidR="00A25B3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前期</w:t>
      </w:r>
      <w:r w:rsidR="00957B63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储备和申报工作</w:t>
      </w:r>
      <w:r w:rsidR="00A25B3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。</w:t>
      </w:r>
      <w:r w:rsidR="001D206A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下一步</w:t>
      </w:r>
      <w:r w:rsidR="00A25B3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将根据各市州培育工作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开展情况确定</w:t>
      </w:r>
      <w:r w:rsidR="00A25B3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小巨人企业申报名额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。</w:t>
      </w:r>
    </w:p>
    <w:p w:rsidR="0063412D" w:rsidRPr="003D6118" w:rsidRDefault="0063412D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lastRenderedPageBreak/>
        <w:t>（三）</w:t>
      </w:r>
      <w:r w:rsidR="00630279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开展</w:t>
      </w:r>
      <w:r w:rsidR="005A026B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监测</w:t>
      </w: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宣传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。</w:t>
      </w:r>
      <w:r w:rsidR="005A026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要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认真做好中小企业运行监测工作，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201</w:t>
      </w:r>
      <w:r w:rsidR="007A622E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7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年认定的小巨人企业</w:t>
      </w:r>
      <w:r w:rsidR="007A622E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、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列入各市州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2018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年小巨人培育计划的后备企业</w:t>
      </w:r>
      <w:r w:rsidR="007A622E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通过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全国中小企业生产经营运行监测平台每月按时填报相关数据。</w:t>
      </w:r>
      <w:r w:rsidR="005A026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各市州要组织有关活动推介宣传，提高小巨人后备企业知名度和美誉度，为小巨人企业培育工作营造良好氛围。</w:t>
      </w:r>
    </w:p>
    <w:p w:rsidR="008A5CC3" w:rsidRPr="003D6118" w:rsidRDefault="008A5CC3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（</w:t>
      </w:r>
      <w:r w:rsidR="0063412D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四</w:t>
      </w: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）</w:t>
      </w:r>
      <w:r w:rsidR="00084192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报送</w:t>
      </w:r>
      <w:r w:rsidR="00622614"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培育</w:t>
      </w:r>
      <w:r w:rsidRPr="003D6118">
        <w:rPr>
          <w:rFonts w:ascii="Times New Roman" w:eastAsia="楷体" w:hAnsi="Times New Roman"/>
          <w:noProof/>
          <w:color w:val="auto"/>
          <w:kern w:val="2"/>
          <w:sz w:val="32"/>
          <w:szCs w:val="32"/>
        </w:rPr>
        <w:t>计划。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各市州要结合本地实际，要在充分调</w:t>
      </w:r>
      <w:r w:rsidR="005A026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查摸底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的基础上，严格对照小巨人企业标准和要求，</w:t>
      </w:r>
      <w:r w:rsidR="005A026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认真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筛选出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2018</w:t>
      </w:r>
      <w:r w:rsidR="00A25B3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年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小巨人后备企业</w:t>
      </w:r>
      <w:r w:rsidR="003C494B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名单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="002D63E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围绕小巨人后备企业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制订切实可行的培育工作计划</w:t>
      </w:r>
      <w:r w:rsidR="002D63E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，</w:t>
      </w:r>
      <w:r w:rsidR="000F27AC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并</w:t>
      </w:r>
      <w:r w:rsidR="002D63E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于</w:t>
      </w:r>
      <w:r w:rsidR="000F27AC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3</w:t>
      </w:r>
      <w:r w:rsidR="002D63E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月</w:t>
      </w:r>
      <w:r w:rsidR="002D63E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1</w:t>
      </w:r>
      <w:r w:rsidR="000F27AC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6</w:t>
      </w:r>
      <w:r w:rsidR="002D63E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日</w:t>
      </w:r>
      <w:r w:rsidR="00D21D38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前</w:t>
      </w:r>
      <w:r w:rsidR="002D63E4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将小巨人培育计划</w:t>
      </w:r>
      <w:r w:rsidR="00D21D38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和《小巨人后备企业汇总表》（</w:t>
      </w:r>
      <w:bookmarkStart w:id="0" w:name="_GoBack"/>
      <w:bookmarkEnd w:id="0"/>
      <w:r w:rsidR="00D21D38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见附件）一并报送我委。</w:t>
      </w:r>
    </w:p>
    <w:p w:rsidR="007054F2" w:rsidRPr="003D6118" w:rsidRDefault="007054F2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联系人：省经信委中小企业发展促进处</w:t>
      </w:r>
      <w:r w:rsidR="003D6118">
        <w:rPr>
          <w:rFonts w:ascii="Times New Roman" w:eastAsia="仿宋_GB2312" w:hAnsi="Times New Roman" w:hint="eastAsia"/>
          <w:noProof/>
          <w:color w:val="auto"/>
          <w:kern w:val="2"/>
          <w:sz w:val="32"/>
          <w:szCs w:val="32"/>
        </w:rPr>
        <w:t xml:space="preserve">  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曾祥国</w:t>
      </w:r>
    </w:p>
    <w:p w:rsidR="007054F2" w:rsidRPr="003D6118" w:rsidRDefault="007054F2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联系电话：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0731—88955552</w:t>
      </w:r>
    </w:p>
    <w:p w:rsidR="000176A0" w:rsidRPr="003D6118" w:rsidRDefault="000176A0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电子邮箱：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zengxo@126.com</w:t>
      </w:r>
    </w:p>
    <w:p w:rsidR="007054F2" w:rsidRPr="003D6118" w:rsidRDefault="007054F2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在线技术服务群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“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湖南中小企业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”QQ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群：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186771348</w:t>
      </w:r>
    </w:p>
    <w:p w:rsidR="007054F2" w:rsidRPr="003D6118" w:rsidRDefault="007054F2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</w:p>
    <w:p w:rsidR="00D84D46" w:rsidRPr="003D6118" w:rsidRDefault="007054F2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bookmarkStart w:id="1" w:name="OLE_LINK1"/>
      <w:bookmarkStart w:id="2" w:name="OLE_LINK2"/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附件：</w:t>
      </w:r>
      <w:bookmarkEnd w:id="1"/>
      <w:bookmarkEnd w:id="2"/>
      <w:r w:rsidR="003D6118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2018</w:t>
      </w:r>
      <w:r w:rsidR="003D6118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年小巨人后备企业汇总表</w:t>
      </w:r>
    </w:p>
    <w:p w:rsidR="007054F2" w:rsidRDefault="007054F2" w:rsidP="003D6118">
      <w:pPr>
        <w:pStyle w:val="a5"/>
        <w:widowControl w:val="0"/>
        <w:spacing w:before="0" w:beforeAutospacing="0" w:after="0" w:afterAutospacing="0" w:line="560" w:lineRule="exact"/>
        <w:ind w:firstLineChars="500" w:firstLine="1600"/>
        <w:jc w:val="both"/>
        <w:rPr>
          <w:rFonts w:ascii="Times New Roman" w:eastAsia="仿宋_GB2312" w:hAnsi="Times New Roman" w:hint="eastAsia"/>
          <w:noProof/>
          <w:color w:val="auto"/>
          <w:kern w:val="2"/>
          <w:sz w:val="32"/>
          <w:szCs w:val="32"/>
        </w:rPr>
      </w:pPr>
    </w:p>
    <w:p w:rsidR="003D6118" w:rsidRPr="003D6118" w:rsidRDefault="003D6118" w:rsidP="003D6118">
      <w:pPr>
        <w:pStyle w:val="a5"/>
        <w:widowControl w:val="0"/>
        <w:spacing w:before="0" w:beforeAutospacing="0" w:after="0" w:afterAutospacing="0" w:line="560" w:lineRule="exact"/>
        <w:ind w:firstLineChars="500" w:firstLine="160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</w:p>
    <w:p w:rsidR="007054F2" w:rsidRPr="003D6118" w:rsidRDefault="007054F2" w:rsidP="003D6118">
      <w:pPr>
        <w:pStyle w:val="a5"/>
        <w:widowControl w:val="0"/>
        <w:spacing w:before="0" w:beforeAutospacing="0" w:after="0" w:afterAutospacing="0" w:line="560" w:lineRule="exact"/>
        <w:ind w:firstLineChars="1550" w:firstLine="496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湖南省经济和信息化</w:t>
      </w:r>
      <w:r w:rsidR="00D459F3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委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员会</w:t>
      </w:r>
    </w:p>
    <w:p w:rsidR="007054F2" w:rsidRPr="003D6118" w:rsidRDefault="007054F2" w:rsidP="003D6118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</w:pP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 xml:space="preserve">                    </w:t>
      </w:r>
      <w:r w:rsidR="003D6118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 xml:space="preserve">     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 xml:space="preserve">      2018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年</w:t>
      </w:r>
      <w:r w:rsidR="00E06781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2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月</w:t>
      </w:r>
      <w:r w:rsidR="00266A82"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1</w:t>
      </w:r>
      <w:r w:rsidR="003D6118">
        <w:rPr>
          <w:rFonts w:ascii="Times New Roman" w:eastAsia="仿宋_GB2312" w:hAnsi="Times New Roman" w:hint="eastAsia"/>
          <w:noProof/>
          <w:color w:val="auto"/>
          <w:kern w:val="2"/>
          <w:sz w:val="32"/>
          <w:szCs w:val="32"/>
        </w:rPr>
        <w:t>2</w:t>
      </w:r>
      <w:r w:rsidRPr="003D6118">
        <w:rPr>
          <w:rFonts w:ascii="Times New Roman" w:eastAsia="仿宋_GB2312" w:hAnsi="Times New Roman"/>
          <w:noProof/>
          <w:color w:val="auto"/>
          <w:kern w:val="2"/>
          <w:sz w:val="32"/>
          <w:szCs w:val="32"/>
        </w:rPr>
        <w:t>日</w:t>
      </w:r>
    </w:p>
    <w:p w:rsidR="00391910" w:rsidRPr="003D6118" w:rsidRDefault="00391910" w:rsidP="00676D80">
      <w:pPr>
        <w:pStyle w:val="a5"/>
        <w:widowControl w:val="0"/>
        <w:spacing w:before="0" w:beforeAutospacing="0" w:after="0" w:afterAutospacing="0" w:line="600" w:lineRule="exact"/>
        <w:jc w:val="center"/>
        <w:rPr>
          <w:rFonts w:ascii="Times New Roman" w:eastAsia="黑体" w:hAnsi="Times New Roman"/>
          <w:noProof/>
          <w:color w:val="auto"/>
          <w:kern w:val="2"/>
          <w:sz w:val="44"/>
          <w:szCs w:val="44"/>
        </w:rPr>
        <w:sectPr w:rsidR="00391910" w:rsidRPr="003D6118" w:rsidSect="003D6118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2098" w:right="1247" w:bottom="1418" w:left="1588" w:header="964" w:footer="1247" w:gutter="0"/>
          <w:cols w:space="720"/>
          <w:docGrid w:type="lines" w:linePitch="312"/>
        </w:sectPr>
      </w:pPr>
    </w:p>
    <w:p w:rsidR="00391910" w:rsidRPr="003D6118" w:rsidRDefault="00391910" w:rsidP="00391910">
      <w:pPr>
        <w:spacing w:line="600" w:lineRule="exact"/>
        <w:rPr>
          <w:rFonts w:eastAsia="黑体"/>
          <w:spacing w:val="-3"/>
          <w:sz w:val="32"/>
          <w:szCs w:val="32"/>
        </w:rPr>
      </w:pPr>
      <w:r w:rsidRPr="003D6118">
        <w:rPr>
          <w:rFonts w:eastAsia="黑体" w:hAnsi="黑体"/>
          <w:spacing w:val="-3"/>
          <w:sz w:val="32"/>
          <w:szCs w:val="32"/>
        </w:rPr>
        <w:lastRenderedPageBreak/>
        <w:t>附件</w:t>
      </w:r>
    </w:p>
    <w:p w:rsidR="00676D80" w:rsidRPr="003D6118" w:rsidRDefault="003C494B" w:rsidP="00676D80">
      <w:pPr>
        <w:pStyle w:val="a5"/>
        <w:widowControl w:val="0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/>
          <w:noProof/>
          <w:color w:val="auto"/>
          <w:kern w:val="2"/>
          <w:sz w:val="44"/>
          <w:szCs w:val="44"/>
        </w:rPr>
      </w:pPr>
      <w:r w:rsidRPr="003D6118">
        <w:rPr>
          <w:rFonts w:ascii="Times New Roman" w:eastAsia="方正小标宋简体" w:hAnsi="Times New Roman"/>
          <w:noProof/>
          <w:color w:val="auto"/>
          <w:kern w:val="2"/>
          <w:sz w:val="44"/>
          <w:szCs w:val="44"/>
        </w:rPr>
        <w:t>2018</w:t>
      </w:r>
      <w:r w:rsidRPr="003D6118">
        <w:rPr>
          <w:rFonts w:ascii="Times New Roman" w:eastAsia="方正小标宋简体" w:hAnsi="Times New Roman"/>
          <w:noProof/>
          <w:color w:val="auto"/>
          <w:kern w:val="2"/>
          <w:sz w:val="44"/>
          <w:szCs w:val="44"/>
        </w:rPr>
        <w:t>年</w:t>
      </w:r>
      <w:r w:rsidR="00676D80" w:rsidRPr="003D6118">
        <w:rPr>
          <w:rFonts w:ascii="Times New Roman" w:eastAsia="方正小标宋简体" w:hAnsi="Times New Roman"/>
          <w:noProof/>
          <w:color w:val="auto"/>
          <w:kern w:val="2"/>
          <w:sz w:val="44"/>
          <w:szCs w:val="44"/>
        </w:rPr>
        <w:t>小巨人后备企业汇总表</w:t>
      </w:r>
    </w:p>
    <w:p w:rsidR="009D1E23" w:rsidRPr="003D6118" w:rsidRDefault="005A026B" w:rsidP="00A139CB">
      <w:pPr>
        <w:spacing w:line="600" w:lineRule="exact"/>
        <w:jc w:val="left"/>
        <w:rPr>
          <w:rFonts w:eastAsia="仿宋_GB2312"/>
          <w:spacing w:val="-3"/>
          <w:sz w:val="44"/>
          <w:szCs w:val="44"/>
        </w:rPr>
      </w:pPr>
      <w:r w:rsidRPr="003D6118">
        <w:rPr>
          <w:rFonts w:eastAsia="仿宋_GB2312"/>
          <w:spacing w:val="-3"/>
          <w:sz w:val="32"/>
          <w:szCs w:val="44"/>
        </w:rPr>
        <w:t>市州</w:t>
      </w:r>
      <w:r w:rsidR="00A139CB" w:rsidRPr="003D6118">
        <w:rPr>
          <w:rFonts w:eastAsia="仿宋_GB2312"/>
          <w:spacing w:val="-3"/>
          <w:sz w:val="44"/>
          <w:szCs w:val="44"/>
        </w:rPr>
        <w:t>：</w:t>
      </w:r>
    </w:p>
    <w:tbl>
      <w:tblPr>
        <w:tblW w:w="13664" w:type="dxa"/>
        <w:jc w:val="center"/>
        <w:tblLook w:val="0000"/>
      </w:tblPr>
      <w:tblGrid>
        <w:gridCol w:w="1120"/>
        <w:gridCol w:w="1980"/>
        <w:gridCol w:w="1400"/>
        <w:gridCol w:w="800"/>
        <w:gridCol w:w="800"/>
        <w:gridCol w:w="800"/>
        <w:gridCol w:w="1060"/>
        <w:gridCol w:w="929"/>
        <w:gridCol w:w="1120"/>
        <w:gridCol w:w="1300"/>
        <w:gridCol w:w="2355"/>
      </w:tblGrid>
      <w:tr w:rsidR="009D1E23" w:rsidRPr="003D6118" w:rsidTr="00441982">
        <w:trPr>
          <w:trHeight w:val="66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所属市县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企业名称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E7E5D" w:rsidRPr="003D6118" w:rsidRDefault="003C494B" w:rsidP="00441982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产业细分</w:t>
            </w:r>
          </w:p>
          <w:p w:rsidR="009D1E23" w:rsidRPr="003D6118" w:rsidRDefault="003C494B" w:rsidP="00441982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领域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近三年销售收入</w:t>
            </w:r>
            <w:r w:rsidRPr="003D6118">
              <w:rPr>
                <w:rFonts w:eastAsia="方正黑体简体"/>
                <w:kern w:val="0"/>
                <w:sz w:val="24"/>
              </w:rPr>
              <w:br/>
            </w:r>
            <w:r w:rsidRPr="003D6118">
              <w:rPr>
                <w:rFonts w:eastAsia="方正黑体简体"/>
                <w:kern w:val="0"/>
                <w:sz w:val="24"/>
              </w:rPr>
              <w:t>（万元）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近三年研发投入（万元）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近五年发明专利数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联系人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联系电话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190032" w:rsidP="00441982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拟参加活动类别</w:t>
            </w:r>
          </w:p>
        </w:tc>
      </w:tr>
      <w:tr w:rsidR="009D1E23" w:rsidRPr="003D6118" w:rsidTr="00441982">
        <w:trPr>
          <w:trHeight w:val="66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2015</w:t>
            </w:r>
            <w:r w:rsidRPr="003D6118">
              <w:rPr>
                <w:rFonts w:eastAsia="方正黑体简体"/>
                <w:kern w:val="0"/>
                <w:sz w:val="24"/>
              </w:rPr>
              <w:t>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2016</w:t>
            </w:r>
            <w:r w:rsidRPr="003D6118">
              <w:rPr>
                <w:rFonts w:eastAsia="方正黑体简体"/>
                <w:kern w:val="0"/>
                <w:sz w:val="24"/>
              </w:rPr>
              <w:t>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>2017</w:t>
            </w:r>
            <w:r w:rsidRPr="003D6118">
              <w:rPr>
                <w:rFonts w:eastAsia="方正黑体简体"/>
                <w:kern w:val="0"/>
                <w:sz w:val="24"/>
              </w:rPr>
              <w:t>年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</w:tr>
      <w:tr w:rsidR="009D1E23" w:rsidRPr="003D6118" w:rsidTr="00441982">
        <w:trPr>
          <w:trHeight w:val="56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</w:tr>
      <w:tr w:rsidR="009D1E23" w:rsidRPr="003D6118" w:rsidTr="00441982">
        <w:trPr>
          <w:trHeight w:val="56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</w:tr>
      <w:tr w:rsidR="009D1E23" w:rsidRPr="003D6118" w:rsidTr="00441982">
        <w:trPr>
          <w:trHeight w:val="56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</w:tr>
      <w:tr w:rsidR="009D1E23" w:rsidRPr="003D6118" w:rsidTr="00441982">
        <w:trPr>
          <w:trHeight w:val="56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</w:tr>
      <w:tr w:rsidR="009D1E23" w:rsidRPr="003D6118" w:rsidTr="00441982">
        <w:trPr>
          <w:trHeight w:val="56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</w:tr>
      <w:tr w:rsidR="003C494B" w:rsidRPr="003D6118" w:rsidTr="00441982">
        <w:trPr>
          <w:trHeight w:val="56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</w:tr>
      <w:tr w:rsidR="003C494B" w:rsidRPr="003D6118" w:rsidTr="00441982">
        <w:trPr>
          <w:trHeight w:val="56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C494B" w:rsidRPr="003D6118" w:rsidRDefault="003C494B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</w:p>
        </w:tc>
      </w:tr>
      <w:tr w:rsidR="009D1E23" w:rsidRPr="003D6118" w:rsidTr="00441982">
        <w:trPr>
          <w:trHeight w:val="567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D1E23" w:rsidRPr="003D6118" w:rsidRDefault="009D1E23" w:rsidP="00441982">
            <w:pPr>
              <w:widowControl/>
              <w:spacing w:line="300" w:lineRule="exact"/>
              <w:jc w:val="left"/>
              <w:rPr>
                <w:rFonts w:eastAsia="方正黑体简体"/>
                <w:kern w:val="0"/>
                <w:sz w:val="24"/>
              </w:rPr>
            </w:pPr>
            <w:r w:rsidRPr="003D6118">
              <w:rPr>
                <w:rFonts w:eastAsia="方正黑体简体"/>
                <w:kern w:val="0"/>
                <w:sz w:val="24"/>
              </w:rPr>
              <w:t xml:space="preserve">　</w:t>
            </w:r>
          </w:p>
        </w:tc>
      </w:tr>
    </w:tbl>
    <w:p w:rsidR="009D1E23" w:rsidRPr="003D6118" w:rsidRDefault="009D1E23" w:rsidP="009D1E23">
      <w:pPr>
        <w:spacing w:line="20" w:lineRule="exact"/>
        <w:rPr>
          <w:rFonts w:eastAsia="方正仿宋简体"/>
          <w:spacing w:val="-3"/>
          <w:sz w:val="32"/>
          <w:szCs w:val="32"/>
        </w:rPr>
      </w:pPr>
    </w:p>
    <w:p w:rsidR="005A026B" w:rsidRPr="003D6118" w:rsidRDefault="005A026B" w:rsidP="009D1E23"/>
    <w:p w:rsidR="009D1E23" w:rsidRPr="003D6118" w:rsidRDefault="005A026B" w:rsidP="003D6118">
      <w:pPr>
        <w:rPr>
          <w:rFonts w:ascii="仿宋_GB2312" w:eastAsia="仿宋_GB2312" w:hint="eastAsia"/>
          <w:sz w:val="28"/>
        </w:rPr>
      </w:pPr>
      <w:r w:rsidRPr="003D6118">
        <w:rPr>
          <w:rFonts w:ascii="仿宋_GB2312" w:eastAsia="仿宋_GB2312" w:hint="eastAsia"/>
          <w:sz w:val="28"/>
        </w:rPr>
        <w:t>填报人：</w:t>
      </w:r>
      <w:r w:rsidR="003D6118" w:rsidRPr="003D6118">
        <w:rPr>
          <w:rFonts w:ascii="仿宋_GB2312" w:eastAsia="仿宋_GB2312" w:hint="eastAsia"/>
          <w:sz w:val="28"/>
        </w:rPr>
        <w:t xml:space="preserve">                                                      </w:t>
      </w:r>
      <w:r w:rsidRPr="003D6118">
        <w:rPr>
          <w:rFonts w:ascii="仿宋_GB2312" w:eastAsia="仿宋_GB2312" w:hint="eastAsia"/>
          <w:sz w:val="28"/>
        </w:rPr>
        <w:t>联系电话：</w:t>
      </w:r>
    </w:p>
    <w:p w:rsidR="003D6118" w:rsidRPr="003D6118" w:rsidRDefault="003D6118" w:rsidP="003D6118">
      <w:pPr>
        <w:rPr>
          <w:rFonts w:ascii="仿宋_GB2312" w:eastAsia="仿宋_GB2312" w:hint="eastAsia"/>
          <w:sz w:val="28"/>
          <w:u w:val="single"/>
        </w:rPr>
        <w:sectPr w:rsidR="003D6118" w:rsidRPr="003D6118" w:rsidSect="00391910">
          <w:pgSz w:w="16838" w:h="11906" w:orient="landscape" w:code="9"/>
          <w:pgMar w:top="1531" w:right="1814" w:bottom="1531" w:left="1814" w:header="851" w:footer="1418" w:gutter="0"/>
          <w:cols w:space="720"/>
          <w:titlePg/>
          <w:docGrid w:type="linesAndChars" w:linePitch="312"/>
        </w:sect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rPr>
          <w:sz w:val="28"/>
          <w:u w:val="single"/>
        </w:rPr>
      </w:pPr>
    </w:p>
    <w:p w:rsidR="003D6118" w:rsidRPr="003D6118" w:rsidRDefault="003D6118" w:rsidP="003D6118">
      <w:pPr>
        <w:pBdr>
          <w:top w:val="single" w:sz="4" w:space="1" w:color="auto"/>
          <w:bottom w:val="single" w:sz="4" w:space="1" w:color="auto"/>
        </w:pBdr>
        <w:spacing w:line="600" w:lineRule="exact"/>
        <w:ind w:firstLineChars="50" w:firstLine="140"/>
        <w:rPr>
          <w:rFonts w:eastAsia="仿宋_GB2312"/>
          <w:sz w:val="28"/>
        </w:rPr>
      </w:pPr>
      <w:r w:rsidRPr="003D6118">
        <w:rPr>
          <w:rFonts w:eastAsia="仿宋_GB2312"/>
          <w:sz w:val="28"/>
        </w:rPr>
        <w:t>湖南省经济和信息化委员会办公室</w:t>
      </w:r>
      <w:r w:rsidRPr="003D6118">
        <w:rPr>
          <w:rFonts w:eastAsia="仿宋_GB2312"/>
          <w:sz w:val="28"/>
        </w:rPr>
        <w:t xml:space="preserve">          2018</w:t>
      </w:r>
      <w:r w:rsidRPr="003D6118">
        <w:rPr>
          <w:rFonts w:eastAsia="仿宋_GB2312"/>
          <w:sz w:val="28"/>
        </w:rPr>
        <w:t>年</w:t>
      </w:r>
      <w:r w:rsidRPr="003D6118">
        <w:rPr>
          <w:rFonts w:eastAsia="仿宋_GB2312"/>
          <w:sz w:val="28"/>
        </w:rPr>
        <w:t>2</w:t>
      </w:r>
      <w:r w:rsidRPr="003D6118">
        <w:rPr>
          <w:rFonts w:eastAsia="仿宋_GB2312"/>
          <w:sz w:val="28"/>
        </w:rPr>
        <w:t>月</w:t>
      </w:r>
      <w:r w:rsidRPr="003D6118">
        <w:rPr>
          <w:rFonts w:eastAsia="仿宋_GB2312"/>
          <w:sz w:val="28"/>
        </w:rPr>
        <w:t>12</w:t>
      </w:r>
      <w:r w:rsidRPr="003D6118">
        <w:rPr>
          <w:rFonts w:eastAsia="仿宋_GB2312"/>
          <w:sz w:val="28"/>
        </w:rPr>
        <w:t>日印发</w:t>
      </w:r>
    </w:p>
    <w:sectPr w:rsidR="003D6118" w:rsidRPr="003D6118" w:rsidSect="003D6118">
      <w:pgSz w:w="11906" w:h="16838" w:code="9"/>
      <w:pgMar w:top="1814" w:right="1531" w:bottom="1814" w:left="1531" w:header="851" w:footer="1418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F4" w:rsidRDefault="00B27AF4">
      <w:r>
        <w:separator/>
      </w:r>
    </w:p>
  </w:endnote>
  <w:endnote w:type="continuationSeparator" w:id="1">
    <w:p w:rsidR="00B27AF4" w:rsidRDefault="00B2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18" w:rsidRDefault="003D6118">
    <w:pPr>
      <w:pStyle w:val="a4"/>
    </w:pPr>
    <w:r w:rsidRPr="003D6118">
      <w:rPr>
        <w:rFonts w:hint="eastAsia"/>
        <w:sz w:val="28"/>
        <w:szCs w:val="28"/>
      </w:rPr>
      <w:t>—</w:t>
    </w:r>
    <w:r w:rsidRPr="003D6118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3913338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3D6118">
          <w:rPr>
            <w:sz w:val="28"/>
            <w:szCs w:val="28"/>
          </w:rPr>
          <w:fldChar w:fldCharType="begin"/>
        </w:r>
        <w:r w:rsidRPr="003D6118">
          <w:rPr>
            <w:sz w:val="28"/>
            <w:szCs w:val="28"/>
          </w:rPr>
          <w:instrText xml:space="preserve"> PAGE   \* MERGEFORMAT </w:instrText>
        </w:r>
        <w:r w:rsidRPr="003D6118">
          <w:rPr>
            <w:sz w:val="28"/>
            <w:szCs w:val="28"/>
          </w:rPr>
          <w:fldChar w:fldCharType="separate"/>
        </w:r>
        <w:r w:rsidRPr="003D6118">
          <w:rPr>
            <w:noProof/>
            <w:sz w:val="28"/>
            <w:szCs w:val="28"/>
            <w:lang w:val="zh-CN"/>
          </w:rPr>
          <w:t>2</w:t>
        </w:r>
        <w:r w:rsidRPr="003D6118">
          <w:rPr>
            <w:sz w:val="28"/>
            <w:szCs w:val="28"/>
          </w:rPr>
          <w:fldChar w:fldCharType="end"/>
        </w:r>
        <w:r w:rsidRPr="003D6118">
          <w:rPr>
            <w:rFonts w:hint="eastAsia"/>
            <w:sz w:val="28"/>
            <w:szCs w:val="28"/>
          </w:rPr>
          <w:t xml:space="preserve"> </w:t>
        </w:r>
        <w:r w:rsidRPr="003D6118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18" w:rsidRDefault="003D6118">
    <w:pPr>
      <w:pStyle w:val="a4"/>
      <w:jc w:val="right"/>
    </w:pPr>
    <w:r w:rsidRPr="003D6118">
      <w:rPr>
        <w:rFonts w:hint="eastAsia"/>
        <w:sz w:val="28"/>
        <w:szCs w:val="28"/>
      </w:rPr>
      <w:t>—</w:t>
    </w:r>
    <w:r w:rsidRPr="003D6118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3913326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3D6118">
          <w:rPr>
            <w:sz w:val="28"/>
            <w:szCs w:val="28"/>
          </w:rPr>
          <w:fldChar w:fldCharType="begin"/>
        </w:r>
        <w:r w:rsidRPr="003D6118">
          <w:rPr>
            <w:sz w:val="28"/>
            <w:szCs w:val="28"/>
          </w:rPr>
          <w:instrText xml:space="preserve"> PAGE   \* MERGEFORMAT </w:instrText>
        </w:r>
        <w:r w:rsidRPr="003D6118">
          <w:rPr>
            <w:sz w:val="28"/>
            <w:szCs w:val="28"/>
          </w:rPr>
          <w:fldChar w:fldCharType="separate"/>
        </w:r>
        <w:r w:rsidRPr="003D6118">
          <w:rPr>
            <w:noProof/>
            <w:sz w:val="28"/>
            <w:szCs w:val="28"/>
            <w:lang w:val="zh-CN"/>
          </w:rPr>
          <w:t>1</w:t>
        </w:r>
        <w:r w:rsidRPr="003D6118">
          <w:rPr>
            <w:sz w:val="28"/>
            <w:szCs w:val="28"/>
          </w:rPr>
          <w:fldChar w:fldCharType="end"/>
        </w:r>
        <w:r w:rsidRPr="003D6118">
          <w:rPr>
            <w:rFonts w:hint="eastAsia"/>
            <w:sz w:val="28"/>
            <w:szCs w:val="28"/>
          </w:rPr>
          <w:t xml:space="preserve"> </w:t>
        </w:r>
        <w:r w:rsidRPr="003D6118">
          <w:rPr>
            <w:rFonts w:hint="eastAsia"/>
            <w:sz w:val="28"/>
            <w:szCs w:val="28"/>
          </w:rPr>
          <w:t>—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18" w:rsidRDefault="003D6118">
    <w:pPr>
      <w:pStyle w:val="a4"/>
    </w:pPr>
    <w:r w:rsidRPr="003D6118">
      <w:rPr>
        <w:rFonts w:hint="eastAsia"/>
        <w:sz w:val="28"/>
        <w:szCs w:val="28"/>
      </w:rPr>
      <w:t>—</w:t>
    </w:r>
    <w:r w:rsidRPr="003D6118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391336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3D6118">
          <w:rPr>
            <w:sz w:val="28"/>
            <w:szCs w:val="28"/>
          </w:rPr>
          <w:fldChar w:fldCharType="begin"/>
        </w:r>
        <w:r w:rsidRPr="003D6118">
          <w:rPr>
            <w:sz w:val="28"/>
            <w:szCs w:val="28"/>
          </w:rPr>
          <w:instrText xml:space="preserve"> PAGE   \* MERGEFORMAT </w:instrText>
        </w:r>
        <w:r w:rsidRPr="003D6118">
          <w:rPr>
            <w:sz w:val="28"/>
            <w:szCs w:val="28"/>
          </w:rPr>
          <w:fldChar w:fldCharType="separate"/>
        </w:r>
        <w:r w:rsidRPr="003D6118">
          <w:rPr>
            <w:noProof/>
            <w:sz w:val="28"/>
            <w:szCs w:val="28"/>
            <w:lang w:val="zh-CN"/>
          </w:rPr>
          <w:t>5</w:t>
        </w:r>
        <w:r w:rsidRPr="003D6118">
          <w:rPr>
            <w:sz w:val="28"/>
            <w:szCs w:val="28"/>
          </w:rPr>
          <w:fldChar w:fldCharType="end"/>
        </w:r>
        <w:r w:rsidRPr="003D6118">
          <w:rPr>
            <w:rFonts w:hint="eastAsia"/>
            <w:sz w:val="28"/>
            <w:szCs w:val="28"/>
          </w:rPr>
          <w:t xml:space="preserve"> </w:t>
        </w:r>
        <w:r w:rsidRPr="003D6118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F4" w:rsidRDefault="00B27AF4">
      <w:r>
        <w:separator/>
      </w:r>
    </w:p>
  </w:footnote>
  <w:footnote w:type="continuationSeparator" w:id="1">
    <w:p w:rsidR="00B27AF4" w:rsidRDefault="00B27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12" w:rsidRDefault="00B27AF4" w:rsidP="00CC027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F2"/>
    <w:rsid w:val="000161EE"/>
    <w:rsid w:val="000176A0"/>
    <w:rsid w:val="00025D7E"/>
    <w:rsid w:val="00043533"/>
    <w:rsid w:val="000713C9"/>
    <w:rsid w:val="00072BCC"/>
    <w:rsid w:val="00084192"/>
    <w:rsid w:val="000A307C"/>
    <w:rsid w:val="000D2FE6"/>
    <w:rsid w:val="000F27AC"/>
    <w:rsid w:val="000F435F"/>
    <w:rsid w:val="000F786D"/>
    <w:rsid w:val="00121D42"/>
    <w:rsid w:val="00141BCF"/>
    <w:rsid w:val="00144C91"/>
    <w:rsid w:val="00190032"/>
    <w:rsid w:val="001D206A"/>
    <w:rsid w:val="00204EC1"/>
    <w:rsid w:val="00222A79"/>
    <w:rsid w:val="00233BF5"/>
    <w:rsid w:val="00263BEE"/>
    <w:rsid w:val="00266A82"/>
    <w:rsid w:val="002C1D21"/>
    <w:rsid w:val="002D5047"/>
    <w:rsid w:val="002D63E4"/>
    <w:rsid w:val="003145EA"/>
    <w:rsid w:val="00353893"/>
    <w:rsid w:val="00357B65"/>
    <w:rsid w:val="00363094"/>
    <w:rsid w:val="00391910"/>
    <w:rsid w:val="003B5225"/>
    <w:rsid w:val="003C494B"/>
    <w:rsid w:val="003C7BE0"/>
    <w:rsid w:val="003D6118"/>
    <w:rsid w:val="00404EDB"/>
    <w:rsid w:val="00405685"/>
    <w:rsid w:val="00405C62"/>
    <w:rsid w:val="004354B2"/>
    <w:rsid w:val="004979F4"/>
    <w:rsid w:val="004A0C37"/>
    <w:rsid w:val="004F420C"/>
    <w:rsid w:val="004F5B95"/>
    <w:rsid w:val="00520901"/>
    <w:rsid w:val="00527E42"/>
    <w:rsid w:val="0053065D"/>
    <w:rsid w:val="00535701"/>
    <w:rsid w:val="00536272"/>
    <w:rsid w:val="00541519"/>
    <w:rsid w:val="00541F42"/>
    <w:rsid w:val="005600E1"/>
    <w:rsid w:val="005A026B"/>
    <w:rsid w:val="005A1A20"/>
    <w:rsid w:val="005C3341"/>
    <w:rsid w:val="005F05CC"/>
    <w:rsid w:val="00620135"/>
    <w:rsid w:val="00622614"/>
    <w:rsid w:val="00630279"/>
    <w:rsid w:val="0063412D"/>
    <w:rsid w:val="006515C4"/>
    <w:rsid w:val="00661D92"/>
    <w:rsid w:val="00665214"/>
    <w:rsid w:val="00676D80"/>
    <w:rsid w:val="006E6040"/>
    <w:rsid w:val="007054F2"/>
    <w:rsid w:val="00715B57"/>
    <w:rsid w:val="007A59E1"/>
    <w:rsid w:val="007A622E"/>
    <w:rsid w:val="007C6ADA"/>
    <w:rsid w:val="007D5B5F"/>
    <w:rsid w:val="0080476C"/>
    <w:rsid w:val="008211F5"/>
    <w:rsid w:val="00825951"/>
    <w:rsid w:val="00832509"/>
    <w:rsid w:val="008A5CC3"/>
    <w:rsid w:val="008A5D0B"/>
    <w:rsid w:val="008B3F31"/>
    <w:rsid w:val="008E1638"/>
    <w:rsid w:val="00903EC7"/>
    <w:rsid w:val="00905BCA"/>
    <w:rsid w:val="00916B1D"/>
    <w:rsid w:val="009549DF"/>
    <w:rsid w:val="00957B63"/>
    <w:rsid w:val="0097126A"/>
    <w:rsid w:val="009B4D72"/>
    <w:rsid w:val="009B56BA"/>
    <w:rsid w:val="009B6CB1"/>
    <w:rsid w:val="009D1E23"/>
    <w:rsid w:val="009D4CA1"/>
    <w:rsid w:val="009E7E5D"/>
    <w:rsid w:val="009F4400"/>
    <w:rsid w:val="00A06EB4"/>
    <w:rsid w:val="00A139CB"/>
    <w:rsid w:val="00A21EA5"/>
    <w:rsid w:val="00A25B3B"/>
    <w:rsid w:val="00A41D6B"/>
    <w:rsid w:val="00A63DB8"/>
    <w:rsid w:val="00A75CD9"/>
    <w:rsid w:val="00A932A4"/>
    <w:rsid w:val="00AE17D0"/>
    <w:rsid w:val="00B27AF4"/>
    <w:rsid w:val="00B30910"/>
    <w:rsid w:val="00B31A92"/>
    <w:rsid w:val="00B72258"/>
    <w:rsid w:val="00B84862"/>
    <w:rsid w:val="00B86FB7"/>
    <w:rsid w:val="00C269DD"/>
    <w:rsid w:val="00C752FC"/>
    <w:rsid w:val="00C76B6F"/>
    <w:rsid w:val="00CC491D"/>
    <w:rsid w:val="00CD7C3F"/>
    <w:rsid w:val="00D21D38"/>
    <w:rsid w:val="00D459F3"/>
    <w:rsid w:val="00D771BB"/>
    <w:rsid w:val="00D84D46"/>
    <w:rsid w:val="00DD32DC"/>
    <w:rsid w:val="00DD73B6"/>
    <w:rsid w:val="00DF6B55"/>
    <w:rsid w:val="00E06781"/>
    <w:rsid w:val="00E22E50"/>
    <w:rsid w:val="00E661B6"/>
    <w:rsid w:val="00E77C17"/>
    <w:rsid w:val="00ED10DC"/>
    <w:rsid w:val="00EF0420"/>
    <w:rsid w:val="00F441C2"/>
    <w:rsid w:val="00F442E9"/>
    <w:rsid w:val="00F92F41"/>
    <w:rsid w:val="00FC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4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0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4F2"/>
    <w:rPr>
      <w:rFonts w:ascii="Times New Roman" w:eastAsia="宋体" w:hAnsi="Times New Roman" w:cs="Times New Roman"/>
      <w:sz w:val="18"/>
      <w:szCs w:val="18"/>
    </w:rPr>
  </w:style>
  <w:style w:type="paragraph" w:customStyle="1" w:styleId="CharChar2Char">
    <w:name w:val="Char Char2 Char"/>
    <w:basedOn w:val="a"/>
    <w:rsid w:val="007054F2"/>
  </w:style>
  <w:style w:type="paragraph" w:styleId="a5">
    <w:name w:val="Normal (Web)"/>
    <w:basedOn w:val="a"/>
    <w:rsid w:val="007054F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6">
    <w:name w:val="page number"/>
    <w:rsid w:val="007054F2"/>
  </w:style>
  <w:style w:type="paragraph" w:customStyle="1" w:styleId="CharChar2Char0">
    <w:name w:val="Char Char2 Char"/>
    <w:basedOn w:val="a"/>
    <w:rsid w:val="009D1E23"/>
  </w:style>
  <w:style w:type="paragraph" w:styleId="a7">
    <w:name w:val="Balloon Text"/>
    <w:basedOn w:val="a"/>
    <w:link w:val="Char1"/>
    <w:uiPriority w:val="99"/>
    <w:semiHidden/>
    <w:unhideWhenUsed/>
    <w:rsid w:val="008E16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1638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66521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6521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4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0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4F2"/>
    <w:rPr>
      <w:rFonts w:ascii="Times New Roman" w:eastAsia="宋体" w:hAnsi="Times New Roman" w:cs="Times New Roman"/>
      <w:sz w:val="18"/>
      <w:szCs w:val="18"/>
    </w:rPr>
  </w:style>
  <w:style w:type="paragraph" w:customStyle="1" w:styleId="CharChar2Char">
    <w:name w:val="Char Char2 Char"/>
    <w:basedOn w:val="a"/>
    <w:rsid w:val="007054F2"/>
  </w:style>
  <w:style w:type="paragraph" w:styleId="a5">
    <w:name w:val="Normal (Web)"/>
    <w:basedOn w:val="a"/>
    <w:rsid w:val="007054F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6">
    <w:name w:val="page number"/>
    <w:rsid w:val="007054F2"/>
  </w:style>
  <w:style w:type="paragraph" w:customStyle="1" w:styleId="CharChar2Char0">
    <w:name w:val="Char Char2 Char"/>
    <w:basedOn w:val="a"/>
    <w:rsid w:val="009D1E23"/>
  </w:style>
  <w:style w:type="paragraph" w:styleId="a7">
    <w:name w:val="Balloon Text"/>
    <w:basedOn w:val="a"/>
    <w:link w:val="Char1"/>
    <w:uiPriority w:val="99"/>
    <w:semiHidden/>
    <w:unhideWhenUsed/>
    <w:rsid w:val="008E16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1638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66521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6521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1A1F-73E0-4397-A0FF-B1F239CB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342</Words>
  <Characters>1954</Characters>
  <Application>Microsoft Office Word</Application>
  <DocSecurity>0</DocSecurity>
  <Lines>16</Lines>
  <Paragraphs>4</Paragraphs>
  <ScaleCrop>false</ScaleCrop>
  <Company>user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曾祥国 192.168.10.76</dc:creator>
  <cp:lastModifiedBy>lenovo</cp:lastModifiedBy>
  <cp:revision>2</cp:revision>
  <cp:lastPrinted>2018-02-11T09:06:00Z</cp:lastPrinted>
  <dcterms:created xsi:type="dcterms:W3CDTF">2018-02-12T03:25:00Z</dcterms:created>
  <dcterms:modified xsi:type="dcterms:W3CDTF">2018-02-12T03:25:00Z</dcterms:modified>
</cp:coreProperties>
</file>