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-1440"/>
        <w:tblW w:w="86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31"/>
        <w:gridCol w:w="1085"/>
        <w:gridCol w:w="1084"/>
        <w:gridCol w:w="1244"/>
        <w:gridCol w:w="996"/>
        <w:gridCol w:w="1102"/>
        <w:gridCol w:w="1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6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宋体" w:cs="宋体"/>
                <w:kern w:val="0"/>
                <w:sz w:val="32"/>
                <w:szCs w:val="32"/>
              </w:rPr>
              <w:t>附件</w:t>
            </w: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4</w:t>
            </w:r>
          </w:p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 w:cs="方正小标宋_GBK"/>
                <w:b/>
                <w:bCs/>
                <w:kern w:val="0"/>
                <w:sz w:val="44"/>
                <w:szCs w:val="44"/>
              </w:rPr>
              <w:t>查处违反中央八项规定精神问题情况月报表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6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 2018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</w:rPr>
              <w:t>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填表单位（盖章）：</w:t>
            </w:r>
          </w:p>
        </w:tc>
        <w:tc>
          <w:tcPr>
            <w:tcW w:w="56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内容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本月查处情况</w:t>
            </w:r>
          </w:p>
        </w:tc>
        <w:tc>
          <w:tcPr>
            <w:tcW w:w="3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2018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年以来查处情况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问题类型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级别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查处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问题数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处理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人数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党纪政纪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处分人数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查处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问题数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处理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人数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党纪政纪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处分人数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违规公款吃喝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总计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地厅级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县处级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乡科级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公款国内旅游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总计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地厅级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县处级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乡科级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公款出国境旅游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总计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地厅级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县处级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乡科级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违规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配备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使用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公务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用车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总计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地厅级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县处级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乡科级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楼堂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馆所违规问题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总计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地厅级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县处级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乡科级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违规发放津补贴或福利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总计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地厅级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县处级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乡科级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违规收送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礼品礼金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总计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地厅级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县处级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乡科级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大办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婚丧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喜庆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总计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地厅级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县处级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乡科级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其他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总计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地厅级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县处级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乡科级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67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1.“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问题仅限于：提供或接受超标准接待、接受或用公款参与高消费娱乐健身活动、违规出入私人会所、领导干部住房违规问题。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、本月报表每月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日前报厅机关纪委。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460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4"/>
              </w:rPr>
              <w:t>联系方式：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B6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2018-04-08T02:50:52Z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