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1E" w:rsidRDefault="00C13DD3">
      <w:pPr>
        <w:pStyle w:val="1"/>
        <w:keepNext w:val="0"/>
        <w:keepLines w:val="0"/>
        <w:numPr>
          <w:ilvl w:val="0"/>
          <w:numId w:val="1"/>
        </w:numPr>
        <w:spacing w:before="0" w:after="100" w:line="264" w:lineRule="auto"/>
        <w:jc w:val="left"/>
        <w:rPr>
          <w:rFonts w:ascii="黑体" w:eastAsia="黑体" w:hAnsi="黑体" w:cs="宋体" w:hint="eastAsia"/>
          <w:bCs/>
          <w:kern w:val="0"/>
          <w:sz w:val="32"/>
          <w:szCs w:val="36"/>
        </w:rPr>
      </w:pPr>
      <w:r>
        <w:rPr>
          <w:rFonts w:ascii="黑体" w:eastAsia="黑体" w:hAnsi="黑体" w:cs="宋体" w:hint="eastAsia"/>
          <w:bCs/>
          <w:kern w:val="0"/>
          <w:sz w:val="32"/>
          <w:szCs w:val="36"/>
        </w:rPr>
        <w:t>惠企政策概要</w:t>
      </w:r>
    </w:p>
    <w:p w:rsidR="00120A0F" w:rsidRPr="00120A0F" w:rsidRDefault="00120A0F" w:rsidP="00120A0F">
      <w:pPr>
        <w:jc w:val="center"/>
      </w:pPr>
      <w:r>
        <w:rPr>
          <w:rFonts w:ascii="微软雅黑" w:eastAsia="微软雅黑" w:hAnsi="微软雅黑" w:cs="宋体" w:hint="eastAsia"/>
          <w:b/>
          <w:bCs/>
          <w:color w:val="000000"/>
          <w:kern w:val="0"/>
          <w:sz w:val="32"/>
          <w:szCs w:val="32"/>
        </w:rPr>
        <w:t>惠企政策概要</w:t>
      </w:r>
    </w:p>
    <w:tbl>
      <w:tblPr>
        <w:tblW w:w="9300" w:type="dxa"/>
        <w:tblInd w:w="93" w:type="dxa"/>
        <w:tblLayout w:type="fixed"/>
        <w:tblLook w:val="04A0"/>
      </w:tblPr>
      <w:tblGrid>
        <w:gridCol w:w="992"/>
        <w:gridCol w:w="860"/>
        <w:gridCol w:w="2152"/>
        <w:gridCol w:w="3855"/>
        <w:gridCol w:w="1441"/>
      </w:tblGrid>
      <w:tr w:rsidR="003B401E">
        <w:trPr>
          <w:trHeight w:val="726"/>
        </w:trPr>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3B401E" w:rsidRDefault="00C13D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类别</w:t>
            </w:r>
          </w:p>
        </w:tc>
        <w:tc>
          <w:tcPr>
            <w:tcW w:w="860" w:type="dxa"/>
            <w:tcBorders>
              <w:top w:val="single" w:sz="8" w:space="0" w:color="auto"/>
              <w:left w:val="nil"/>
              <w:bottom w:val="single" w:sz="4" w:space="0" w:color="auto"/>
              <w:right w:val="single" w:sz="4" w:space="0" w:color="auto"/>
            </w:tcBorders>
            <w:shd w:val="clear" w:color="auto" w:fill="auto"/>
            <w:vAlign w:val="center"/>
          </w:tcPr>
          <w:p w:rsidR="003B401E" w:rsidRDefault="00C13D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资金</w:t>
            </w:r>
          </w:p>
          <w:p w:rsidR="003B401E" w:rsidRDefault="00C13D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来源</w:t>
            </w:r>
          </w:p>
        </w:tc>
        <w:tc>
          <w:tcPr>
            <w:tcW w:w="2152" w:type="dxa"/>
            <w:tcBorders>
              <w:top w:val="single" w:sz="8" w:space="0" w:color="auto"/>
              <w:left w:val="nil"/>
              <w:bottom w:val="single" w:sz="4" w:space="0" w:color="auto"/>
              <w:right w:val="single" w:sz="4" w:space="0" w:color="auto"/>
            </w:tcBorders>
            <w:shd w:val="clear" w:color="auto" w:fill="auto"/>
            <w:vAlign w:val="center"/>
          </w:tcPr>
          <w:p w:rsidR="003B401E" w:rsidRDefault="00C13D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3855" w:type="dxa"/>
            <w:tcBorders>
              <w:top w:val="single" w:sz="8" w:space="0" w:color="auto"/>
              <w:left w:val="nil"/>
              <w:bottom w:val="single" w:sz="4" w:space="0" w:color="auto"/>
              <w:right w:val="single" w:sz="4" w:space="0" w:color="auto"/>
            </w:tcBorders>
            <w:shd w:val="clear" w:color="auto" w:fill="auto"/>
            <w:vAlign w:val="center"/>
          </w:tcPr>
          <w:p w:rsidR="003B401E" w:rsidRDefault="00C13DD3" w:rsidP="0041484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政策出处</w:t>
            </w:r>
          </w:p>
        </w:tc>
        <w:tc>
          <w:tcPr>
            <w:tcW w:w="1441" w:type="dxa"/>
            <w:tcBorders>
              <w:top w:val="single" w:sz="8" w:space="0" w:color="auto"/>
              <w:left w:val="nil"/>
              <w:bottom w:val="single" w:sz="4" w:space="0" w:color="auto"/>
              <w:right w:val="single" w:sz="8" w:space="0" w:color="auto"/>
            </w:tcBorders>
            <w:shd w:val="clear" w:color="auto" w:fill="auto"/>
            <w:vAlign w:val="center"/>
          </w:tcPr>
          <w:p w:rsidR="003B401E" w:rsidRDefault="00C13DD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责任部门</w:t>
            </w:r>
          </w:p>
        </w:tc>
      </w:tr>
      <w:tr w:rsidR="003B401E">
        <w:trPr>
          <w:trHeight w:val="782"/>
        </w:trPr>
        <w:tc>
          <w:tcPr>
            <w:tcW w:w="992" w:type="dxa"/>
            <w:tcBorders>
              <w:top w:val="nil"/>
              <w:left w:val="single" w:sz="4" w:space="0" w:color="auto"/>
              <w:bottom w:val="single" w:sz="4" w:space="0" w:color="auto"/>
              <w:right w:val="single" w:sz="4" w:space="0" w:color="auto"/>
            </w:tcBorders>
            <w:shd w:val="clear" w:color="000000" w:fill="FFFFFF"/>
            <w:vAlign w:val="center"/>
          </w:tcPr>
          <w:p w:rsidR="003B401E" w:rsidRDefault="00C13DD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产业</w:t>
            </w:r>
          </w:p>
          <w:p w:rsidR="003B401E" w:rsidRDefault="00C13DD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专项</w:t>
            </w:r>
          </w:p>
        </w:tc>
        <w:tc>
          <w:tcPr>
            <w:tcW w:w="860" w:type="dxa"/>
            <w:tcBorders>
              <w:top w:val="nil"/>
              <w:left w:val="nil"/>
              <w:bottom w:val="single" w:sz="4" w:space="0" w:color="auto"/>
              <w:right w:val="single" w:sz="4" w:space="0" w:color="auto"/>
            </w:tcBorders>
            <w:shd w:val="clear" w:color="000000" w:fill="FFFFFF"/>
            <w:vAlign w:val="center"/>
          </w:tcPr>
          <w:p w:rsidR="003B401E" w:rsidRDefault="00C13DD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省级</w:t>
            </w:r>
          </w:p>
        </w:tc>
        <w:tc>
          <w:tcPr>
            <w:tcW w:w="2152" w:type="dxa"/>
            <w:tcBorders>
              <w:top w:val="nil"/>
              <w:left w:val="nil"/>
              <w:bottom w:val="single" w:sz="4" w:space="0" w:color="auto"/>
              <w:right w:val="single" w:sz="4" w:space="0" w:color="auto"/>
            </w:tcBorders>
            <w:shd w:val="clear" w:color="000000" w:fill="FFFFFF"/>
            <w:vAlign w:val="center"/>
          </w:tcPr>
          <w:p w:rsidR="003B401E" w:rsidRDefault="00C13DD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湖南省现代服务业发展专项</w:t>
            </w:r>
          </w:p>
        </w:tc>
        <w:tc>
          <w:tcPr>
            <w:tcW w:w="3855" w:type="dxa"/>
            <w:tcBorders>
              <w:top w:val="nil"/>
              <w:left w:val="nil"/>
              <w:bottom w:val="single" w:sz="4" w:space="0" w:color="auto"/>
              <w:right w:val="single" w:sz="4" w:space="0" w:color="auto"/>
            </w:tcBorders>
            <w:shd w:val="clear" w:color="auto" w:fill="auto"/>
            <w:vAlign w:val="center"/>
          </w:tcPr>
          <w:p w:rsidR="003B401E" w:rsidRDefault="00C13DD3" w:rsidP="0041484B">
            <w:pPr>
              <w:widowControl/>
              <w:jc w:val="center"/>
              <w:rPr>
                <w:rFonts w:ascii="宋体" w:eastAsia="宋体" w:hAnsi="宋体" w:cs="宋体"/>
                <w:kern w:val="0"/>
                <w:sz w:val="22"/>
              </w:rPr>
            </w:pPr>
            <w:r>
              <w:rPr>
                <w:rFonts w:ascii="宋体" w:eastAsia="宋体" w:hAnsi="宋体" w:cs="宋体" w:hint="eastAsia"/>
                <w:kern w:val="0"/>
                <w:sz w:val="22"/>
              </w:rPr>
              <w:t>《湖南省现代服务业发展专项资金管理办法》</w:t>
            </w:r>
            <w:r w:rsidR="00215A50">
              <w:rPr>
                <w:rFonts w:ascii="宋体" w:eastAsia="宋体" w:hAnsi="宋体" w:cs="宋体" w:hint="eastAsia"/>
                <w:color w:val="000000"/>
                <w:kern w:val="0"/>
                <w:sz w:val="22"/>
              </w:rPr>
              <w:t>（</w:t>
            </w:r>
            <w:r>
              <w:rPr>
                <w:rFonts w:ascii="宋体" w:eastAsia="宋体" w:hAnsi="宋体" w:cs="宋体" w:hint="eastAsia"/>
                <w:kern w:val="0"/>
                <w:sz w:val="22"/>
              </w:rPr>
              <w:t>湘财外〔2015〕26号</w:t>
            </w:r>
            <w:r w:rsidR="00215A50">
              <w:rPr>
                <w:rFonts w:ascii="宋体" w:eastAsia="宋体" w:hAnsi="宋体" w:cs="宋体" w:hint="eastAsia"/>
                <w:color w:val="000000"/>
                <w:kern w:val="0"/>
                <w:sz w:val="22"/>
              </w:rPr>
              <w:t>）</w:t>
            </w:r>
          </w:p>
        </w:tc>
        <w:tc>
          <w:tcPr>
            <w:tcW w:w="1441" w:type="dxa"/>
            <w:tcBorders>
              <w:top w:val="nil"/>
              <w:left w:val="nil"/>
              <w:bottom w:val="single" w:sz="4" w:space="0" w:color="auto"/>
              <w:right w:val="single" w:sz="8" w:space="0" w:color="auto"/>
            </w:tcBorders>
            <w:shd w:val="clear" w:color="auto" w:fill="auto"/>
            <w:vAlign w:val="center"/>
          </w:tcPr>
          <w:p w:rsidR="003B401E" w:rsidRDefault="00C13DD3">
            <w:pPr>
              <w:widowControl/>
              <w:jc w:val="center"/>
              <w:rPr>
                <w:rFonts w:ascii="宋体" w:eastAsia="宋体" w:hAnsi="宋体" w:cs="宋体"/>
                <w:kern w:val="0"/>
                <w:sz w:val="22"/>
              </w:rPr>
            </w:pPr>
            <w:r>
              <w:rPr>
                <w:rFonts w:ascii="宋体" w:eastAsia="宋体" w:hAnsi="宋体" w:cs="宋体" w:hint="eastAsia"/>
                <w:kern w:val="0"/>
                <w:sz w:val="22"/>
              </w:rPr>
              <w:t>市发改委</w:t>
            </w:r>
          </w:p>
        </w:tc>
      </w:tr>
    </w:tbl>
    <w:p w:rsidR="003B401E" w:rsidRDefault="003B401E"/>
    <w:p w:rsidR="003B401E" w:rsidRDefault="00C13DD3">
      <w:pPr>
        <w:widowControl/>
        <w:jc w:val="left"/>
        <w:rPr>
          <w:rFonts w:ascii="黑体" w:eastAsia="黑体" w:hAnsi="黑体" w:cs="宋体"/>
          <w:b/>
          <w:bCs/>
          <w:kern w:val="0"/>
          <w:sz w:val="32"/>
          <w:szCs w:val="36"/>
        </w:rPr>
      </w:pPr>
      <w:r>
        <w:rPr>
          <w:rFonts w:ascii="黑体" w:eastAsia="黑体" w:hAnsi="黑体" w:cs="宋体"/>
          <w:bCs/>
          <w:kern w:val="0"/>
          <w:sz w:val="32"/>
          <w:szCs w:val="36"/>
        </w:rPr>
        <w:br w:type="page"/>
      </w:r>
    </w:p>
    <w:p w:rsidR="003B401E" w:rsidRDefault="00C13DD3">
      <w:pPr>
        <w:pStyle w:val="1"/>
        <w:keepNext w:val="0"/>
        <w:keepLines w:val="0"/>
        <w:spacing w:before="0" w:after="100" w:line="264" w:lineRule="auto"/>
        <w:ind w:firstLineChars="200" w:firstLine="643"/>
        <w:jc w:val="left"/>
        <w:rPr>
          <w:rFonts w:ascii="方正小标宋简体" w:eastAsia="方正小标宋简体" w:hAnsi="宋体" w:cs="宋体"/>
          <w:bCs/>
          <w:kern w:val="0"/>
          <w:sz w:val="36"/>
          <w:szCs w:val="36"/>
        </w:rPr>
      </w:pPr>
      <w:r>
        <w:rPr>
          <w:rFonts w:ascii="黑体" w:eastAsia="黑体" w:hAnsi="黑体" w:cs="宋体" w:hint="eastAsia"/>
          <w:bCs/>
          <w:kern w:val="0"/>
          <w:sz w:val="32"/>
          <w:szCs w:val="36"/>
        </w:rPr>
        <w:lastRenderedPageBreak/>
        <w:t>二、惠企政策文件（节选）</w:t>
      </w:r>
    </w:p>
    <w:p w:rsidR="003B401E" w:rsidRDefault="003B401E">
      <w:pPr>
        <w:pStyle w:val="1"/>
        <w:keepNext w:val="0"/>
        <w:keepLines w:val="0"/>
        <w:spacing w:before="0" w:after="100" w:line="264" w:lineRule="auto"/>
        <w:jc w:val="center"/>
        <w:rPr>
          <w:rFonts w:ascii="方正小标宋简体" w:eastAsia="方正小标宋简体" w:hAnsi="宋体" w:cs="宋体"/>
          <w:bCs/>
          <w:kern w:val="0"/>
          <w:sz w:val="28"/>
          <w:szCs w:val="36"/>
        </w:rPr>
      </w:pPr>
      <w:bookmarkStart w:id="0" w:name="_GoBack"/>
      <w:bookmarkEnd w:id="0"/>
    </w:p>
    <w:p w:rsidR="003B401E" w:rsidRDefault="00C13DD3">
      <w:pPr>
        <w:pStyle w:val="1"/>
        <w:keepNext w:val="0"/>
        <w:keepLines w:val="0"/>
        <w:spacing w:before="0" w:after="100" w:line="264" w:lineRule="auto"/>
        <w:jc w:val="center"/>
        <w:rPr>
          <w:rFonts w:ascii="方正小标宋简体" w:eastAsia="方正小标宋简体" w:hAnsi="宋体" w:cs="宋体"/>
          <w:bCs/>
          <w:kern w:val="0"/>
          <w:sz w:val="36"/>
          <w:szCs w:val="36"/>
        </w:rPr>
      </w:pPr>
      <w:r>
        <w:rPr>
          <w:rFonts w:ascii="方正小标宋简体" w:eastAsia="方正小标宋简体" w:hAnsi="宋体" w:cs="宋体"/>
          <w:bCs/>
          <w:kern w:val="0"/>
          <w:sz w:val="36"/>
          <w:szCs w:val="36"/>
        </w:rPr>
        <w:t>关于组织开展2018年度省现代服务业发展专项资金项目申报工作的通知</w:t>
      </w:r>
    </w:p>
    <w:p w:rsidR="003B401E" w:rsidRDefault="003B401E" w:rsidP="00120A0F">
      <w:pPr>
        <w:pStyle w:val="a5"/>
        <w:widowControl/>
        <w:spacing w:afterLines="50" w:line="264" w:lineRule="auto"/>
        <w:rPr>
          <w:rFonts w:asciiTheme="minorEastAsia" w:eastAsiaTheme="minorEastAsia" w:hAnsiTheme="minorEastAsia" w:cs="微软雅黑"/>
          <w:sz w:val="20"/>
          <w:szCs w:val="20"/>
        </w:rPr>
      </w:pPr>
    </w:p>
    <w:p w:rsidR="003B401E" w:rsidRDefault="00C13DD3">
      <w:pPr>
        <w:pStyle w:val="a5"/>
        <w:widowControl/>
        <w:spacing w:line="288" w:lineRule="auto"/>
        <w:ind w:firstLine="420"/>
        <w:rPr>
          <w:rFonts w:asciiTheme="minorEastAsia" w:eastAsiaTheme="minorEastAsia" w:hAnsiTheme="minorEastAsia" w:cs="宋体"/>
          <w:b/>
          <w:sz w:val="22"/>
          <w:szCs w:val="22"/>
          <w:shd w:val="clear" w:color="auto" w:fill="FFFFFF"/>
        </w:rPr>
      </w:pPr>
      <w:r>
        <w:rPr>
          <w:rFonts w:asciiTheme="minorEastAsia" w:eastAsiaTheme="minorEastAsia" w:hAnsiTheme="minorEastAsia" w:cs="宋体"/>
          <w:b/>
          <w:sz w:val="22"/>
          <w:szCs w:val="22"/>
          <w:shd w:val="clear" w:color="auto" w:fill="FFFFFF"/>
        </w:rPr>
        <w:t>一、支持方向及重点</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支持方向。结合我省产业发展实际，围绕打造文化创意基地、聚焦补齐发展短板、助力制造强省建设，重点支持文化创意产业，以及研发设计、检测检验、电子商务等生产性服务业。适当支持有利于促进服务创新项目。</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支持重点。上述领域符合条件的集聚区（园区）及项目：（1）省级服务业示范集聚区及省级以上产业园区范围内符合支持方向的产业项目或公共服务平台项目；（2）纳入全省“五个100”、服务业“双百”工程的服务业重点项目；（3）有利于促进服务业业态、模式、技术、产品等创新的示范项目；（4）与“十三五”国家服务业综合改革试点密切相关的重点区域、重大项目和公共服务平台项目。</w:t>
      </w:r>
    </w:p>
    <w:p w:rsidR="003B401E" w:rsidRDefault="003B401E">
      <w:pPr>
        <w:pStyle w:val="a5"/>
        <w:widowControl/>
        <w:spacing w:line="288" w:lineRule="auto"/>
        <w:ind w:firstLine="420"/>
        <w:rPr>
          <w:rFonts w:asciiTheme="minorEastAsia" w:eastAsiaTheme="minorEastAsia" w:hAnsiTheme="minorEastAsia" w:cs="微软雅黑"/>
          <w:sz w:val="22"/>
          <w:szCs w:val="22"/>
        </w:rPr>
      </w:pPr>
    </w:p>
    <w:p w:rsidR="003B401E" w:rsidRDefault="00C13DD3">
      <w:pPr>
        <w:pStyle w:val="a5"/>
        <w:widowControl/>
        <w:spacing w:line="288" w:lineRule="auto"/>
        <w:ind w:firstLine="420"/>
        <w:rPr>
          <w:rFonts w:asciiTheme="minorEastAsia" w:eastAsiaTheme="minorEastAsia" w:hAnsiTheme="minorEastAsia" w:cs="宋体"/>
          <w:b/>
          <w:sz w:val="22"/>
          <w:szCs w:val="22"/>
          <w:shd w:val="clear" w:color="auto" w:fill="FFFFFF"/>
        </w:rPr>
      </w:pPr>
      <w:r>
        <w:rPr>
          <w:rFonts w:asciiTheme="minorEastAsia" w:eastAsiaTheme="minorEastAsia" w:hAnsiTheme="minorEastAsia" w:cs="宋体"/>
          <w:b/>
          <w:sz w:val="22"/>
          <w:szCs w:val="22"/>
          <w:shd w:val="clear" w:color="auto" w:fill="FFFFFF"/>
        </w:rPr>
        <w:t>二、支持方式及标准</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1、支持方式。采取直接补助或贷款贴息方式给予支持。</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补助标准。（1）直接补助，金额标准不超过项目总投资额的15%，单个项目不高于1000万元。（2）贷款贴息，按照银行贷款金额和不超过同期人民银行贷款基准利率的50%计算贴息额，贴息期限不超过2年（含2年）。</w:t>
      </w:r>
    </w:p>
    <w:p w:rsidR="003B401E" w:rsidRDefault="003B401E">
      <w:pPr>
        <w:pStyle w:val="a5"/>
        <w:widowControl/>
        <w:spacing w:line="288" w:lineRule="auto"/>
        <w:ind w:firstLine="420"/>
        <w:rPr>
          <w:rFonts w:asciiTheme="minorEastAsia" w:eastAsiaTheme="minorEastAsia" w:hAnsiTheme="minorEastAsia" w:cs="微软雅黑"/>
          <w:sz w:val="22"/>
          <w:szCs w:val="22"/>
        </w:rPr>
      </w:pPr>
    </w:p>
    <w:p w:rsidR="003B401E" w:rsidRDefault="00C13DD3">
      <w:pPr>
        <w:pStyle w:val="a5"/>
        <w:widowControl/>
        <w:spacing w:line="288" w:lineRule="auto"/>
        <w:ind w:firstLine="420"/>
        <w:rPr>
          <w:rFonts w:asciiTheme="minorEastAsia" w:eastAsiaTheme="minorEastAsia" w:hAnsiTheme="minorEastAsia" w:cs="宋体"/>
          <w:b/>
          <w:sz w:val="22"/>
          <w:szCs w:val="22"/>
          <w:shd w:val="clear" w:color="auto" w:fill="FFFFFF"/>
        </w:rPr>
      </w:pPr>
      <w:r>
        <w:rPr>
          <w:rFonts w:asciiTheme="minorEastAsia" w:eastAsiaTheme="minorEastAsia" w:hAnsiTheme="minorEastAsia" w:cs="宋体"/>
          <w:b/>
          <w:sz w:val="22"/>
          <w:szCs w:val="22"/>
          <w:shd w:val="clear" w:color="auto" w:fill="FFFFFF"/>
        </w:rPr>
        <w:t>三、申报要求</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（一）申报条件。申请省现代服务业发展专项资金，应具备以下基本条件：</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1、符合本次专项资金支持的方向和重点，项目总投资额原则上不低于5000万元，公共服务平台总投资额原则上不低于2000万元，贫困地区符合支持方向和重点的集聚区（园区）和项目总投资额可适当降低；</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2、集聚区（园区）符合支持方向，发展态势良好，主导产业特色鲜明，项目方案清晰；</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3、项目单位为湖南省内依法注册、具有独立法人资格的企业、事业单位或社会团体，具有健全的财务管理结构和完善的财务管理制度，信用记录良好，无违法违规行为；</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4、已履行必要的审核（备案）等相关手续；</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5、建设资金有明确的落实渠道，能够保证配套资金及时足额到位；</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6、项目已开工并完成了一定数量的投资额，一般2年内能建设完成；</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7、具有自我发展能力、创新引领及示范带动作用；</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lastRenderedPageBreak/>
        <w:t>8、同一项目（含主要建设内容基本一致的项目，以及从某一已支持项目中分拆出的子项目），近三年内无多头、重复和连续申报情形。</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（二）申报材料。主要包括以下材料：</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申报项目需提供《2018年度省现代服务业发展专项资金项目申请报告》；以省级示范集聚区及省级以上产业园区进行申报的，由园区编制总体方案），同时，方案中提出的项目需提供项目申请报告；以“十三五”国家服务业综合改革试点重点区域进行申报的，需提供国家服务业综合改革试点重点区域实施方案；</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2、项目申报单位（各市州发改委、财政局，湘江新区经发局、财政局，中央在湘和省直有关单位）申报文件、申报项目汇总表、申报承诺函;</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3、项目提供的其它材料：</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（1）项目单位营业执照、税务登记证（非盈利性组织提供机构代码证复印件）；</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（2）项目有关核准、备案文件，国有土地使用证或房屋租赁合同；项目立项时要求进行环评、能评的，应提供环评、节能报告复印件；</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（3）企业近一年经会计事务所审计的会计报表和财务审计报告复印件（非盈利性组织和新办企业投资项目除外）；</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4）项目资金落实情况。其中：银行贷款，需附银行贷款合同；企业自筹资金，需附银行或相关机构资产证明；完成投资，需附实际发生主要费用的合法凭证（发票）、银行付款凭证（须包含付款银行章）、合同等复印件，并加盖申请单位公章；</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（5）申请贷款贴息的项目，需提供贷款合同及2016年1月1日至2017年12月31日期间付息凭据复印件等材料。</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（三）申报程序和数量。各地各有关单位接此通知后，请严格按照今年资金支持方向、重点和申报要求，认真组织好集聚区（园区）、项目筛选和申报工作。</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1、中央在湘单位项目直接向省发改委、省财政厅申报。</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2、省属单位项目(指省直部门直接管理编制序列内的单位申报项目)由省级主管部门审核后，报省发改委、省财政厅。</w:t>
      </w:r>
    </w:p>
    <w:p w:rsidR="003B401E" w:rsidRDefault="00C13DD3">
      <w:pPr>
        <w:pStyle w:val="a5"/>
        <w:widowControl/>
        <w:spacing w:line="288" w:lineRule="auto"/>
        <w:ind w:firstLine="420"/>
        <w:rPr>
          <w:rFonts w:asciiTheme="minorEastAsia" w:eastAsiaTheme="minorEastAsia" w:hAnsiTheme="minorEastAsia" w:cs="微软雅黑"/>
          <w:sz w:val="22"/>
          <w:szCs w:val="22"/>
        </w:rPr>
      </w:pPr>
      <w:r>
        <w:rPr>
          <w:rFonts w:asciiTheme="minorEastAsia" w:eastAsiaTheme="minorEastAsia" w:hAnsiTheme="minorEastAsia" w:cs="微软雅黑"/>
          <w:sz w:val="22"/>
          <w:szCs w:val="22"/>
        </w:rPr>
        <w:t>3、市州本级及所辖区县市项目、省级服务业示范集聚区及省级以上产业园区向所在市州发改委、财政局提交有关申报资料；市州发改委会同同级财政局对项目进行审核汇总，对符合支持条件的集聚区（园区）、项目进行排序后，联合行文分别报送省发改委、省财政厅。湘江新区集聚区（园区）及项目由新区经发局、财政局按程序审核并联合行文上报。</w:t>
      </w:r>
    </w:p>
    <w:p w:rsidR="003B401E" w:rsidRDefault="003B401E">
      <w:pPr>
        <w:widowControl/>
        <w:shd w:val="clear" w:color="auto" w:fill="FFFFFF"/>
        <w:spacing w:line="288" w:lineRule="auto"/>
        <w:rPr>
          <w:rFonts w:ascii="方正小标宋简体" w:eastAsia="方正小标宋简体" w:hAnsi="宋体" w:cs="宋体"/>
          <w:b/>
          <w:bCs/>
          <w:kern w:val="0"/>
          <w:sz w:val="22"/>
        </w:rPr>
      </w:pPr>
    </w:p>
    <w:p w:rsidR="003B401E" w:rsidRDefault="00C13DD3">
      <w:pPr>
        <w:spacing w:line="288" w:lineRule="auto"/>
        <w:rPr>
          <w:rFonts w:ascii="方正小标宋简体" w:eastAsia="方正小标宋简体" w:hAnsi="宋体" w:cs="宋体"/>
          <w:b/>
          <w:bCs/>
          <w:kern w:val="0"/>
          <w:sz w:val="22"/>
        </w:rPr>
      </w:pPr>
      <w:r>
        <w:rPr>
          <w:rFonts w:ascii="方正小标宋简体" w:eastAsia="方正小标宋简体" w:hAnsi="宋体" w:cs="宋体" w:hint="eastAsia"/>
          <w:b/>
          <w:bCs/>
          <w:kern w:val="0"/>
          <w:sz w:val="22"/>
        </w:rPr>
        <w:br w:type="page"/>
      </w:r>
    </w:p>
    <w:p w:rsidR="003B401E" w:rsidRDefault="00C13DD3">
      <w:pPr>
        <w:widowControl/>
        <w:shd w:val="clear" w:color="auto" w:fill="FFFFFF"/>
        <w:spacing w:line="264" w:lineRule="auto"/>
        <w:jc w:val="center"/>
        <w:rPr>
          <w:rFonts w:ascii="方正小标宋简体" w:eastAsia="方正小标宋简体" w:hAnsi="宋体" w:cs="宋体"/>
          <w:b/>
          <w:bCs/>
          <w:kern w:val="0"/>
          <w:sz w:val="36"/>
          <w:szCs w:val="36"/>
        </w:rPr>
      </w:pPr>
      <w:r>
        <w:rPr>
          <w:rFonts w:ascii="方正小标宋简体" w:eastAsia="方正小标宋简体" w:hAnsi="宋体" w:cs="宋体" w:hint="eastAsia"/>
          <w:b/>
          <w:bCs/>
          <w:kern w:val="0"/>
          <w:sz w:val="36"/>
          <w:szCs w:val="36"/>
        </w:rPr>
        <w:lastRenderedPageBreak/>
        <w:t>湖南省现代服务业发展专项资金管理办法</w:t>
      </w:r>
    </w:p>
    <w:p w:rsidR="003B401E" w:rsidRDefault="003B401E" w:rsidP="00120A0F">
      <w:pPr>
        <w:widowControl/>
        <w:shd w:val="clear" w:color="auto" w:fill="FFFFFF"/>
        <w:spacing w:afterLines="50" w:line="264" w:lineRule="auto"/>
        <w:jc w:val="center"/>
        <w:rPr>
          <w:rFonts w:ascii="Tahoma" w:eastAsia="宋体" w:hAnsi="Tahoma" w:cs="Tahoma"/>
          <w:kern w:val="0"/>
          <w:sz w:val="24"/>
          <w:szCs w:val="24"/>
        </w:rPr>
      </w:pPr>
    </w:p>
    <w:p w:rsidR="003B401E" w:rsidRDefault="00C13DD3">
      <w:pPr>
        <w:pStyle w:val="a6"/>
        <w:widowControl/>
        <w:numPr>
          <w:ilvl w:val="0"/>
          <w:numId w:val="2"/>
        </w:numPr>
        <w:shd w:val="clear" w:color="auto" w:fill="FFFFFF"/>
        <w:spacing w:line="288" w:lineRule="auto"/>
        <w:ind w:firstLineChars="0"/>
        <w:jc w:val="left"/>
        <w:rPr>
          <w:rFonts w:asciiTheme="minorEastAsia" w:hAnsiTheme="minorEastAsia" w:cs="Tahoma"/>
          <w:b/>
          <w:kern w:val="0"/>
          <w:sz w:val="22"/>
        </w:rPr>
      </w:pPr>
      <w:r>
        <w:rPr>
          <w:rFonts w:asciiTheme="minorEastAsia" w:hAnsiTheme="minorEastAsia" w:cs="Tahoma" w:hint="eastAsia"/>
          <w:b/>
          <w:kern w:val="0"/>
          <w:sz w:val="22"/>
        </w:rPr>
        <w:t xml:space="preserve"> 使用原则和支持范围</w:t>
      </w:r>
    </w:p>
    <w:p w:rsidR="003B401E" w:rsidRDefault="00C13DD3">
      <w:pPr>
        <w:widowControl/>
        <w:shd w:val="clear" w:color="auto" w:fill="FFFFFF"/>
        <w:spacing w:line="288" w:lineRule="auto"/>
        <w:ind w:firstLineChars="196" w:firstLine="433"/>
        <w:jc w:val="left"/>
        <w:rPr>
          <w:rFonts w:asciiTheme="minorEastAsia" w:hAnsiTheme="minorEastAsia" w:cs="Tahoma"/>
          <w:kern w:val="0"/>
          <w:sz w:val="22"/>
        </w:rPr>
      </w:pPr>
      <w:r>
        <w:rPr>
          <w:rFonts w:asciiTheme="minorEastAsia" w:hAnsiTheme="minorEastAsia" w:cs="Tahoma" w:hint="eastAsia"/>
          <w:b/>
          <w:bCs/>
          <w:kern w:val="0"/>
          <w:sz w:val="22"/>
        </w:rPr>
        <w:t xml:space="preserve">第一条  </w:t>
      </w:r>
      <w:r>
        <w:rPr>
          <w:rFonts w:asciiTheme="minorEastAsia" w:hAnsiTheme="minorEastAsia" w:cs="Tahoma" w:hint="eastAsia"/>
          <w:kern w:val="0"/>
          <w:sz w:val="22"/>
        </w:rPr>
        <w:t>现代服务业资金的使用遵循</w:t>
      </w:r>
      <w:r>
        <w:rPr>
          <w:rFonts w:asciiTheme="minorEastAsia" w:hAnsiTheme="minorEastAsia" w:cs="Tahoma"/>
          <w:kern w:val="0"/>
          <w:sz w:val="22"/>
        </w:rPr>
        <w:t>“</w:t>
      </w:r>
      <w:r>
        <w:rPr>
          <w:rFonts w:asciiTheme="minorEastAsia" w:hAnsiTheme="minorEastAsia" w:cs="Tahoma" w:hint="eastAsia"/>
          <w:kern w:val="0"/>
          <w:sz w:val="22"/>
        </w:rPr>
        <w:t>规划引领、政策引导，突出重点、兼顾公平，厉行节约、注重实效，公开公正、规范管理</w:t>
      </w:r>
      <w:r>
        <w:rPr>
          <w:rFonts w:asciiTheme="minorEastAsia" w:hAnsiTheme="minorEastAsia" w:cs="Tahoma"/>
          <w:kern w:val="0"/>
          <w:sz w:val="22"/>
        </w:rPr>
        <w:t>”</w:t>
      </w:r>
      <w:r>
        <w:rPr>
          <w:rFonts w:asciiTheme="minorEastAsia" w:hAnsiTheme="minorEastAsia" w:cs="Tahoma" w:hint="eastAsia"/>
          <w:kern w:val="0"/>
          <w:sz w:val="22"/>
        </w:rPr>
        <w:t>的原则。</w:t>
      </w:r>
    </w:p>
    <w:p w:rsidR="003B401E" w:rsidRDefault="00C13DD3">
      <w:pPr>
        <w:widowControl/>
        <w:shd w:val="clear" w:color="auto" w:fill="FFFFFF"/>
        <w:spacing w:line="288" w:lineRule="auto"/>
        <w:ind w:firstLineChars="196" w:firstLine="433"/>
        <w:jc w:val="left"/>
        <w:rPr>
          <w:rFonts w:asciiTheme="minorEastAsia" w:hAnsiTheme="minorEastAsia" w:cs="Tahoma"/>
          <w:kern w:val="0"/>
          <w:sz w:val="22"/>
        </w:rPr>
      </w:pPr>
      <w:r>
        <w:rPr>
          <w:rFonts w:asciiTheme="minorEastAsia" w:hAnsiTheme="minorEastAsia" w:cs="Tahoma" w:hint="eastAsia"/>
          <w:b/>
          <w:bCs/>
          <w:kern w:val="0"/>
          <w:sz w:val="22"/>
        </w:rPr>
        <w:t xml:space="preserve">第二条  </w:t>
      </w:r>
      <w:r>
        <w:rPr>
          <w:rFonts w:asciiTheme="minorEastAsia" w:hAnsiTheme="minorEastAsia" w:cs="Tahoma" w:hint="eastAsia"/>
          <w:kern w:val="0"/>
          <w:sz w:val="22"/>
        </w:rPr>
        <w:t>现代服务业资金的支持范围：</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（一）服务业重点产业和新兴产业的发展；</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（二）服务业集聚区建设；</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（三）服务业公共平台建设；</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（四）服务业人才培训、品牌培育和标准化建设；</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（五）服务业重大活动和重大课题研究；</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（六）省委、省政府确定的其他事项。</w:t>
      </w:r>
    </w:p>
    <w:p w:rsidR="003B401E" w:rsidRDefault="003B401E">
      <w:pPr>
        <w:widowControl/>
        <w:shd w:val="clear" w:color="auto" w:fill="FFFFFF"/>
        <w:spacing w:line="288" w:lineRule="auto"/>
        <w:ind w:firstLineChars="200" w:firstLine="440"/>
        <w:jc w:val="left"/>
        <w:rPr>
          <w:rFonts w:asciiTheme="minorEastAsia" w:hAnsiTheme="minorEastAsia" w:cs="Tahoma"/>
          <w:kern w:val="0"/>
          <w:sz w:val="22"/>
        </w:rPr>
      </w:pPr>
    </w:p>
    <w:p w:rsidR="003B401E" w:rsidRDefault="00C13DD3">
      <w:pPr>
        <w:widowControl/>
        <w:shd w:val="clear" w:color="auto" w:fill="FFFFFF"/>
        <w:spacing w:line="288" w:lineRule="auto"/>
        <w:ind w:firstLineChars="200" w:firstLine="442"/>
        <w:rPr>
          <w:rFonts w:asciiTheme="minorEastAsia" w:hAnsiTheme="minorEastAsia" w:cs="Tahoma"/>
          <w:b/>
          <w:kern w:val="0"/>
          <w:sz w:val="22"/>
        </w:rPr>
      </w:pPr>
      <w:r>
        <w:rPr>
          <w:rFonts w:asciiTheme="minorEastAsia" w:hAnsiTheme="minorEastAsia" w:cs="Tahoma" w:hint="eastAsia"/>
          <w:b/>
          <w:kern w:val="0"/>
          <w:sz w:val="22"/>
        </w:rPr>
        <w:t>第二章  项目资金申报和审核</w:t>
      </w:r>
    </w:p>
    <w:p w:rsidR="003B401E" w:rsidRDefault="00C13DD3">
      <w:pPr>
        <w:widowControl/>
        <w:shd w:val="clear" w:color="auto" w:fill="FFFFFF"/>
        <w:spacing w:line="288" w:lineRule="auto"/>
        <w:ind w:firstLineChars="196" w:firstLine="433"/>
        <w:jc w:val="left"/>
        <w:rPr>
          <w:rFonts w:asciiTheme="minorEastAsia" w:hAnsiTheme="minorEastAsia" w:cs="Tahoma"/>
          <w:kern w:val="0"/>
          <w:sz w:val="22"/>
        </w:rPr>
      </w:pPr>
      <w:r>
        <w:rPr>
          <w:rFonts w:asciiTheme="minorEastAsia" w:hAnsiTheme="minorEastAsia" w:cs="Tahoma" w:hint="eastAsia"/>
          <w:b/>
          <w:bCs/>
          <w:kern w:val="0"/>
          <w:sz w:val="22"/>
        </w:rPr>
        <w:t xml:space="preserve">第三条  </w:t>
      </w:r>
      <w:r>
        <w:rPr>
          <w:rFonts w:asciiTheme="minorEastAsia" w:hAnsiTheme="minorEastAsia" w:cs="Tahoma" w:hint="eastAsia"/>
          <w:kern w:val="0"/>
          <w:sz w:val="22"/>
        </w:rPr>
        <w:t>申报现代服务业资金的单位须具备以下基本条件：</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（一）在我省依法注册，具有独立法人资格的单位和企业；</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（二）健全的财务管理结构和完善的财务管理制度；</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（三）单位或企业具有良好的会计信用、纳税信用等社会信用，无不良记录。</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各具体专项资金申报所需提供的资料在下发的资金申报通知中予以明确。</w:t>
      </w:r>
    </w:p>
    <w:p w:rsidR="003B401E" w:rsidRDefault="00C13DD3">
      <w:pPr>
        <w:widowControl/>
        <w:shd w:val="clear" w:color="auto" w:fill="FFFFFF"/>
        <w:spacing w:line="288" w:lineRule="auto"/>
        <w:ind w:firstLineChars="200" w:firstLine="442"/>
        <w:jc w:val="left"/>
        <w:rPr>
          <w:rFonts w:asciiTheme="minorEastAsia" w:hAnsiTheme="minorEastAsia" w:cs="Tahoma"/>
          <w:kern w:val="0"/>
          <w:sz w:val="22"/>
        </w:rPr>
      </w:pPr>
      <w:r>
        <w:rPr>
          <w:rFonts w:asciiTheme="minorEastAsia" w:hAnsiTheme="minorEastAsia" w:cs="Tahoma" w:hint="eastAsia"/>
          <w:b/>
          <w:bCs/>
          <w:kern w:val="0"/>
          <w:sz w:val="22"/>
        </w:rPr>
        <w:t xml:space="preserve">第四条  </w:t>
      </w:r>
      <w:r>
        <w:rPr>
          <w:rFonts w:asciiTheme="minorEastAsia" w:hAnsiTheme="minorEastAsia" w:cs="Tahoma" w:hint="eastAsia"/>
          <w:kern w:val="0"/>
          <w:sz w:val="22"/>
        </w:rPr>
        <w:t>现代服务业资金申报及审核工作按以下程序办理：</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一）省发改委在每年第三季度提出下一年度的现代服务业资金使用计划，省财政厅综合考虑年度资金预算规模、以前年度预算执行情况和绩效评价结果等因素审核确认后，以省财政厅、省发改委两家名义报省政府审定。</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（二）省发改委在省政府审定现代服务业资金使用计划后</w:t>
      </w:r>
      <w:r>
        <w:rPr>
          <w:rFonts w:asciiTheme="minorEastAsia" w:hAnsiTheme="minorEastAsia" w:cs="Tahoma"/>
          <w:kern w:val="0"/>
          <w:sz w:val="22"/>
        </w:rPr>
        <w:t>30</w:t>
      </w:r>
      <w:r>
        <w:rPr>
          <w:rFonts w:asciiTheme="minorEastAsia" w:hAnsiTheme="minorEastAsia" w:cs="Tahoma" w:hint="eastAsia"/>
          <w:kern w:val="0"/>
          <w:sz w:val="22"/>
        </w:rPr>
        <w:t>日内，会同省财政厅组织开展项目申报工作，明确现代服务业资金支持重点、申报条件等事项，申报通知同时在省发改委、省财政厅门户网站和相关媒体公布。</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（三）中央在湘企业（单位）可直接向省发改委、省财政厅申报。</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省属单位项目由省主管部门审核后，报省发改委、省财政厅。</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各市州、省直管县经济体制改革试点县市、省财政省直管县市发改委（局）和财政局负责组织本地区的项目初审和申报工作，并联合行文分别报送省发改委、省财政厅，省直管县市报送的文件应同时抄报市发改委、市财政局备案。</w:t>
      </w:r>
    </w:p>
    <w:p w:rsidR="003B401E" w:rsidRDefault="00C13DD3">
      <w:pPr>
        <w:widowControl/>
        <w:shd w:val="clear" w:color="auto" w:fill="FFFFFF"/>
        <w:spacing w:line="288" w:lineRule="auto"/>
        <w:ind w:firstLineChars="200" w:firstLine="440"/>
        <w:jc w:val="left"/>
        <w:rPr>
          <w:rFonts w:asciiTheme="minorEastAsia" w:hAnsiTheme="minorEastAsia" w:cs="Tahoma"/>
          <w:kern w:val="0"/>
          <w:sz w:val="22"/>
        </w:rPr>
      </w:pPr>
      <w:r>
        <w:rPr>
          <w:rFonts w:asciiTheme="minorEastAsia" w:hAnsiTheme="minorEastAsia" w:cs="Tahoma" w:hint="eastAsia"/>
          <w:kern w:val="0"/>
          <w:sz w:val="22"/>
        </w:rPr>
        <w:t>省主管部门、各市州、县市发改、财政部门分别负责对所属申报项目相关材料的真实性、合法性进行把关负责把关，并提交承诺函。项目单位直接申报的，应一并提交材料真实性、合法性承诺书。</w:t>
      </w:r>
    </w:p>
    <w:p w:rsidR="003B401E" w:rsidRDefault="003B401E">
      <w:pPr>
        <w:spacing w:line="288" w:lineRule="auto"/>
        <w:rPr>
          <w:rFonts w:asciiTheme="minorEastAsia" w:hAnsiTheme="minorEastAsia"/>
          <w:sz w:val="22"/>
        </w:rPr>
      </w:pPr>
    </w:p>
    <w:sectPr w:rsidR="003B401E" w:rsidSect="003B401E">
      <w:footerReference w:type="default" r:id="rId8"/>
      <w:pgSz w:w="11906" w:h="16838"/>
      <w:pgMar w:top="1701" w:right="1417" w:bottom="136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275" w:rsidRDefault="00561275" w:rsidP="003B401E">
      <w:r>
        <w:separator/>
      </w:r>
    </w:p>
  </w:endnote>
  <w:endnote w:type="continuationSeparator" w:id="1">
    <w:p w:rsidR="00561275" w:rsidRDefault="00561275" w:rsidP="003B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方正小标宋简体">
    <w:altName w:val="Microsoft JhengHei Light"/>
    <w:charset w:val="86"/>
    <w:family w:val="script"/>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1E" w:rsidRDefault="00BF0962">
    <w:pPr>
      <w:pStyle w:val="a3"/>
      <w:tabs>
        <w:tab w:val="clear" w:pos="4153"/>
        <w:tab w:val="center" w:pos="4536"/>
      </w:tabs>
      <w:rPr>
        <w:sz w:val="21"/>
        <w:szCs w:val="21"/>
      </w:rPr>
    </w:pPr>
    <w:r>
      <w:rPr>
        <w:sz w:val="21"/>
        <w:szCs w:val="21"/>
      </w:rP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3B401E" w:rsidRDefault="00BF0962">
                <w:pPr>
                  <w:pStyle w:val="a3"/>
                  <w:rPr>
                    <w:sz w:val="21"/>
                    <w:szCs w:val="21"/>
                  </w:rPr>
                </w:pPr>
                <w:r>
                  <w:rPr>
                    <w:rFonts w:hint="eastAsia"/>
                    <w:sz w:val="21"/>
                    <w:szCs w:val="21"/>
                  </w:rPr>
                  <w:fldChar w:fldCharType="begin"/>
                </w:r>
                <w:r w:rsidR="00C13DD3">
                  <w:rPr>
                    <w:rFonts w:hint="eastAsia"/>
                    <w:sz w:val="21"/>
                    <w:szCs w:val="21"/>
                  </w:rPr>
                  <w:instrText xml:space="preserve"> PAGE  \* MERGEFORMAT </w:instrText>
                </w:r>
                <w:r>
                  <w:rPr>
                    <w:rFonts w:hint="eastAsia"/>
                    <w:sz w:val="21"/>
                    <w:szCs w:val="21"/>
                  </w:rPr>
                  <w:fldChar w:fldCharType="separate"/>
                </w:r>
                <w:r w:rsidR="00120A0F">
                  <w:rPr>
                    <w:noProof/>
                    <w:sz w:val="21"/>
                    <w:szCs w:val="21"/>
                  </w:rPr>
                  <w:t>1</w:t>
                </w:r>
                <w:r>
                  <w:rPr>
                    <w:rFonts w:hint="eastAsia"/>
                    <w:sz w:val="21"/>
                    <w:szCs w:val="21"/>
                  </w:rPr>
                  <w:fldChar w:fldCharType="end"/>
                </w:r>
              </w:p>
            </w:txbxContent>
          </v:textbox>
          <w10:wrap anchorx="margin"/>
        </v:shape>
      </w:pict>
    </w:r>
    <w:r w:rsidR="00C13DD3">
      <w:rPr>
        <w:rFonts w:hint="eastAsia"/>
        <w:sz w:val="21"/>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275" w:rsidRDefault="00561275" w:rsidP="003B401E">
      <w:r>
        <w:separator/>
      </w:r>
    </w:p>
  </w:footnote>
  <w:footnote w:type="continuationSeparator" w:id="1">
    <w:p w:rsidR="00561275" w:rsidRDefault="00561275" w:rsidP="003B4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B20"/>
    <w:multiLevelType w:val="multilevel"/>
    <w:tmpl w:val="15A80B20"/>
    <w:lvl w:ilvl="0">
      <w:start w:val="1"/>
      <w:numFmt w:val="japaneseCounting"/>
      <w:lvlText w:val="%1、"/>
      <w:lvlJc w:val="left"/>
      <w:pPr>
        <w:ind w:left="1365" w:hanging="675"/>
      </w:pPr>
      <w:rPr>
        <w:rFonts w:hint="default"/>
      </w:rPr>
    </w:lvl>
    <w:lvl w:ilvl="1">
      <w:start w:val="1"/>
      <w:numFmt w:val="lowerLetter"/>
      <w:lvlText w:val="%2)"/>
      <w:lvlJc w:val="left"/>
      <w:pPr>
        <w:ind w:left="1530" w:hanging="420"/>
      </w:pPr>
    </w:lvl>
    <w:lvl w:ilvl="2">
      <w:start w:val="1"/>
      <w:numFmt w:val="lowerRoman"/>
      <w:lvlText w:val="%3."/>
      <w:lvlJc w:val="right"/>
      <w:pPr>
        <w:ind w:left="1950" w:hanging="420"/>
      </w:pPr>
    </w:lvl>
    <w:lvl w:ilvl="3">
      <w:start w:val="1"/>
      <w:numFmt w:val="decimal"/>
      <w:lvlText w:val="%4."/>
      <w:lvlJc w:val="left"/>
      <w:pPr>
        <w:ind w:left="2370" w:hanging="420"/>
      </w:pPr>
    </w:lvl>
    <w:lvl w:ilvl="4">
      <w:start w:val="1"/>
      <w:numFmt w:val="lowerLetter"/>
      <w:lvlText w:val="%5)"/>
      <w:lvlJc w:val="left"/>
      <w:pPr>
        <w:ind w:left="2790" w:hanging="420"/>
      </w:pPr>
    </w:lvl>
    <w:lvl w:ilvl="5">
      <w:start w:val="1"/>
      <w:numFmt w:val="lowerRoman"/>
      <w:lvlText w:val="%6."/>
      <w:lvlJc w:val="right"/>
      <w:pPr>
        <w:ind w:left="3210" w:hanging="420"/>
      </w:pPr>
    </w:lvl>
    <w:lvl w:ilvl="6">
      <w:start w:val="1"/>
      <w:numFmt w:val="decimal"/>
      <w:lvlText w:val="%7."/>
      <w:lvlJc w:val="left"/>
      <w:pPr>
        <w:ind w:left="3630" w:hanging="420"/>
      </w:pPr>
    </w:lvl>
    <w:lvl w:ilvl="7">
      <w:start w:val="1"/>
      <w:numFmt w:val="lowerLetter"/>
      <w:lvlText w:val="%8)"/>
      <w:lvlJc w:val="left"/>
      <w:pPr>
        <w:ind w:left="4050" w:hanging="420"/>
      </w:pPr>
    </w:lvl>
    <w:lvl w:ilvl="8">
      <w:start w:val="1"/>
      <w:numFmt w:val="lowerRoman"/>
      <w:lvlText w:val="%9."/>
      <w:lvlJc w:val="right"/>
      <w:pPr>
        <w:ind w:left="4470" w:hanging="420"/>
      </w:pPr>
    </w:lvl>
  </w:abstractNum>
  <w:abstractNum w:abstractNumId="1">
    <w:nsid w:val="7E177BC1"/>
    <w:multiLevelType w:val="multilevel"/>
    <w:tmpl w:val="7E177BC1"/>
    <w:lvl w:ilvl="0">
      <w:start w:val="1"/>
      <w:numFmt w:val="japaneseCounting"/>
      <w:lvlText w:val="第%1章"/>
      <w:lvlJc w:val="left"/>
      <w:pPr>
        <w:ind w:left="1122" w:hanging="720"/>
      </w:pPr>
      <w:rPr>
        <w:rFonts w:ascii="黑体" w:eastAsia="黑体" w:hAnsi="黑体" w:hint="default"/>
      </w:rPr>
    </w:lvl>
    <w:lvl w:ilvl="1">
      <w:start w:val="1"/>
      <w:numFmt w:val="lowerLetter"/>
      <w:lvlText w:val="%2)"/>
      <w:lvlJc w:val="left"/>
      <w:pPr>
        <w:ind w:left="1242" w:hanging="420"/>
      </w:pPr>
    </w:lvl>
    <w:lvl w:ilvl="2">
      <w:start w:val="1"/>
      <w:numFmt w:val="lowerRoman"/>
      <w:lvlText w:val="%3."/>
      <w:lvlJc w:val="right"/>
      <w:pPr>
        <w:ind w:left="1662" w:hanging="420"/>
      </w:pPr>
    </w:lvl>
    <w:lvl w:ilvl="3">
      <w:start w:val="1"/>
      <w:numFmt w:val="decimal"/>
      <w:lvlText w:val="%4."/>
      <w:lvlJc w:val="left"/>
      <w:pPr>
        <w:ind w:left="2082" w:hanging="420"/>
      </w:pPr>
    </w:lvl>
    <w:lvl w:ilvl="4">
      <w:start w:val="1"/>
      <w:numFmt w:val="lowerLetter"/>
      <w:lvlText w:val="%5)"/>
      <w:lvlJc w:val="left"/>
      <w:pPr>
        <w:ind w:left="2502" w:hanging="420"/>
      </w:pPr>
    </w:lvl>
    <w:lvl w:ilvl="5">
      <w:start w:val="1"/>
      <w:numFmt w:val="lowerRoman"/>
      <w:lvlText w:val="%6."/>
      <w:lvlJc w:val="right"/>
      <w:pPr>
        <w:ind w:left="2922" w:hanging="420"/>
      </w:pPr>
    </w:lvl>
    <w:lvl w:ilvl="6">
      <w:start w:val="1"/>
      <w:numFmt w:val="decimal"/>
      <w:lvlText w:val="%7."/>
      <w:lvlJc w:val="left"/>
      <w:pPr>
        <w:ind w:left="3342" w:hanging="420"/>
      </w:pPr>
    </w:lvl>
    <w:lvl w:ilvl="7">
      <w:start w:val="1"/>
      <w:numFmt w:val="lowerLetter"/>
      <w:lvlText w:val="%8)"/>
      <w:lvlJc w:val="left"/>
      <w:pPr>
        <w:ind w:left="3762" w:hanging="420"/>
      </w:pPr>
    </w:lvl>
    <w:lvl w:ilvl="8">
      <w:start w:val="1"/>
      <w:numFmt w:val="lowerRoman"/>
      <w:lvlText w:val="%9."/>
      <w:lvlJc w:val="right"/>
      <w:pPr>
        <w:ind w:left="418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E7F"/>
    <w:rsid w:val="00051EA3"/>
    <w:rsid w:val="000A24E0"/>
    <w:rsid w:val="000B7201"/>
    <w:rsid w:val="000C1D91"/>
    <w:rsid w:val="000C74A1"/>
    <w:rsid w:val="00120A0F"/>
    <w:rsid w:val="00126CB6"/>
    <w:rsid w:val="00186A8F"/>
    <w:rsid w:val="001F6586"/>
    <w:rsid w:val="00215A50"/>
    <w:rsid w:val="00237C38"/>
    <w:rsid w:val="0027029B"/>
    <w:rsid w:val="002E2FB6"/>
    <w:rsid w:val="0031712D"/>
    <w:rsid w:val="00357F59"/>
    <w:rsid w:val="0036071F"/>
    <w:rsid w:val="003812FA"/>
    <w:rsid w:val="003B401E"/>
    <w:rsid w:val="003F10F9"/>
    <w:rsid w:val="0041484B"/>
    <w:rsid w:val="0048788D"/>
    <w:rsid w:val="00561275"/>
    <w:rsid w:val="00580EDF"/>
    <w:rsid w:val="00591FCA"/>
    <w:rsid w:val="005B4019"/>
    <w:rsid w:val="005D535A"/>
    <w:rsid w:val="00617A7D"/>
    <w:rsid w:val="00664E7F"/>
    <w:rsid w:val="00706016"/>
    <w:rsid w:val="00745532"/>
    <w:rsid w:val="007E250E"/>
    <w:rsid w:val="00876181"/>
    <w:rsid w:val="008B0D19"/>
    <w:rsid w:val="008E7D05"/>
    <w:rsid w:val="008F35E9"/>
    <w:rsid w:val="00912550"/>
    <w:rsid w:val="00973F86"/>
    <w:rsid w:val="00992A64"/>
    <w:rsid w:val="009A5B91"/>
    <w:rsid w:val="009B4928"/>
    <w:rsid w:val="009D05D5"/>
    <w:rsid w:val="00A97CE2"/>
    <w:rsid w:val="00BF0962"/>
    <w:rsid w:val="00C13DD3"/>
    <w:rsid w:val="00C72EF6"/>
    <w:rsid w:val="00C810BC"/>
    <w:rsid w:val="00CE7929"/>
    <w:rsid w:val="00D102E8"/>
    <w:rsid w:val="00DA7C9B"/>
    <w:rsid w:val="00E6068F"/>
    <w:rsid w:val="00E6259D"/>
    <w:rsid w:val="00E726A6"/>
    <w:rsid w:val="00F701CE"/>
    <w:rsid w:val="00FD20A6"/>
    <w:rsid w:val="025F7C9B"/>
    <w:rsid w:val="4F3646BB"/>
    <w:rsid w:val="50871694"/>
    <w:rsid w:val="6E0B79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Web 3" w:semiHidden="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E"/>
    <w:pPr>
      <w:widowControl w:val="0"/>
      <w:jc w:val="both"/>
    </w:pPr>
    <w:rPr>
      <w:kern w:val="2"/>
      <w:sz w:val="21"/>
      <w:szCs w:val="22"/>
    </w:rPr>
  </w:style>
  <w:style w:type="paragraph" w:styleId="1">
    <w:name w:val="heading 1"/>
    <w:basedOn w:val="a"/>
    <w:next w:val="a"/>
    <w:link w:val="1Char"/>
    <w:qFormat/>
    <w:rsid w:val="003B401E"/>
    <w:pPr>
      <w:keepNext/>
      <w:keepLines/>
      <w:spacing w:before="340" w:after="330" w:line="576" w:lineRule="auto"/>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B401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B401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B401E"/>
    <w:pPr>
      <w:jc w:val="left"/>
    </w:pPr>
    <w:rPr>
      <w:rFonts w:ascii="Calibri" w:eastAsia="宋体" w:hAnsi="Calibri" w:cs="Times New Roman"/>
      <w:kern w:val="0"/>
      <w:sz w:val="24"/>
      <w:szCs w:val="24"/>
    </w:rPr>
  </w:style>
  <w:style w:type="character" w:customStyle="1" w:styleId="1Char">
    <w:name w:val="标题 1 Char"/>
    <w:basedOn w:val="a0"/>
    <w:link w:val="1"/>
    <w:qFormat/>
    <w:rsid w:val="003B401E"/>
    <w:rPr>
      <w:b/>
      <w:kern w:val="44"/>
      <w:sz w:val="44"/>
      <w:szCs w:val="24"/>
    </w:rPr>
  </w:style>
  <w:style w:type="character" w:customStyle="1" w:styleId="Char0">
    <w:name w:val="页眉 Char"/>
    <w:basedOn w:val="a0"/>
    <w:link w:val="a4"/>
    <w:uiPriority w:val="99"/>
    <w:semiHidden/>
    <w:qFormat/>
    <w:rsid w:val="003B401E"/>
    <w:rPr>
      <w:sz w:val="18"/>
      <w:szCs w:val="18"/>
    </w:rPr>
  </w:style>
  <w:style w:type="character" w:customStyle="1" w:styleId="Char">
    <w:name w:val="页脚 Char"/>
    <w:basedOn w:val="a0"/>
    <w:link w:val="a3"/>
    <w:uiPriority w:val="99"/>
    <w:semiHidden/>
    <w:qFormat/>
    <w:rsid w:val="003B401E"/>
    <w:rPr>
      <w:sz w:val="18"/>
      <w:szCs w:val="18"/>
    </w:rPr>
  </w:style>
  <w:style w:type="paragraph" w:styleId="a6">
    <w:name w:val="List Paragraph"/>
    <w:basedOn w:val="a"/>
    <w:uiPriority w:val="99"/>
    <w:unhideWhenUsed/>
    <w:qFormat/>
    <w:rsid w:val="003B401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Bohua</dc:creator>
  <cp:lastModifiedBy>n</cp:lastModifiedBy>
  <cp:revision>29</cp:revision>
  <dcterms:created xsi:type="dcterms:W3CDTF">2019-05-06T13:53:00Z</dcterms:created>
  <dcterms:modified xsi:type="dcterms:W3CDTF">2019-05-19T15:15:00Z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