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省工商行政管理局“马上办网上办就近办一次办”事项</w:t>
      </w: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（18项）</w:t>
      </w:r>
    </w:p>
    <w:p>
      <w:pPr>
        <w:spacing w:line="24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3"/>
        <w:tblW w:w="143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541"/>
        <w:gridCol w:w="3636"/>
        <w:gridCol w:w="1619"/>
        <w:gridCol w:w="1060"/>
        <w:gridCol w:w="951"/>
        <w:gridCol w:w="1089"/>
        <w:gridCol w:w="951"/>
        <w:gridCol w:w="1097"/>
        <w:gridCol w:w="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序号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事项名称</w:t>
            </w:r>
          </w:p>
        </w:tc>
        <w:tc>
          <w:tcPr>
            <w:tcW w:w="363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子项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事项类型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实施主体</w:t>
            </w: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“</w:t>
            </w:r>
            <w:r>
              <w:rPr>
                <w:rFonts w:ascii="Times New Roman" w:hAnsi="黑体" w:eastAsia="黑体"/>
                <w:szCs w:val="21"/>
              </w:rPr>
              <w:t>四办</w:t>
            </w:r>
            <w:r>
              <w:rPr>
                <w:rFonts w:ascii="Times New Roman" w:hAnsi="Times New Roman" w:eastAsia="黑体"/>
                <w:szCs w:val="21"/>
              </w:rPr>
              <w:t>”</w:t>
            </w:r>
            <w:r>
              <w:rPr>
                <w:rFonts w:ascii="Times New Roman" w:hAnsi="黑体" w:eastAsia="黑体"/>
                <w:szCs w:val="21"/>
              </w:rPr>
              <w:t>类别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3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马上办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网上办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就近办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黑体" w:eastAsia="黑体"/>
                <w:szCs w:val="21"/>
              </w:rPr>
              <w:t>一次办</w:t>
            </w: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权限内企业核准登记（含企业名称核准）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企业名称预先核准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有限（责任）公司设立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有限（责任）公司变更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有限（责任）公司注销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股份有限公司设立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股份有限公司变更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股份有限公司注销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一人有限责任公司设立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一人有限责任公司变更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一人有限责任公司注销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分公司设立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分公司变更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分公司注销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权限内企业核准登记（含企业名称核准）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非公司企业法人分支机构设立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非公司企业法人分支机构变更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非公司企业法人分支机构注销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个人独资企业设立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个人独资企业变更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个人独资企业注销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个人独资企业分支机构设立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个人独资企业分支机构变更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个人独资企业分支机构注销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有限合伙企业设立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有限合伙企业变更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有限合伙企业注销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普通合伙企业设立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普通合伙企业变更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普通合伙企业注销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权限内企业核准登记（含企业名称核准）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特殊普通合伙企业设立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特殊普通合伙企业变更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特殊普通合伙企业注销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合伙企业分支机构设立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合伙企业分支机构变更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合伙企业分支机构注销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外商独资企业（有限公司）设立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外商独资企业（有限公司）变更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外商独资企业（有限公司）注销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外商独资企业分公司设立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外商独资企业分公司变更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外商独资企业分公司注销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外商合资企业（有限公司）设立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外商合资企业（有限公司）变更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外商合资企业（有限公司）注销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外商合资企业（股份有限公司）设立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外商合资企业（股份有限公司）变更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外商合资企业（股份有限公司）注销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权限内企业核准登记（含企业名称核准）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外商合资分公司设立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外商合资分公司变更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外商合资分公司注销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外商合作企业（有限公司）设立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外商合作企业（有限公司）变更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外商合作企业（有限公司）注销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外商合作企业（股份有限公司）设立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外商合作企业（股份有限公司）变更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外商合作企业（股份有限公司）注销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外商合作分公司设立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外商合作分公司变更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外商合作分公司注销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外商投资有限合伙企业设立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外商投资有限合伙企业变更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外商投资有限合伙企业注销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外商投资普通合伙企业设立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外商投资普通合伙企业变更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外商投资普通合伙企业注销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权限内企业核准登记（含企业名称核准）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外商投资特殊普通合伙企业设立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外商投资特殊普通合伙变更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外商投资特殊普通合伙企业注销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简易注销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公司撤销变更登记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非公司企业法人改制登记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外国（地区）企业常驻代表机构登记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外国（地区）企业常驻代表机构设立登记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外国（地区）企业常驻代表机构变更登记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外国（地区）企业常驻代表机构注销登记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外国（地区）企业在中国境内从事生产经营活动核准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外国（地区）企业在中国境内从事生产经营活动设立登记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外国（地区）企业在中国境内从事生产经营活动变更登记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外国（地区）企业在中国境内从事生产经营活动注销登记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广告发布登记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行政许可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外商投资合伙企业解散清算人员名单备案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外资企业财产或者权益对外抵押、转让备案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非公司企业法人因主管部门改变不涉及原主要登记事项变更的备案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公司解散清算组成员以及负责人名单备案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企业法定代表人签字备案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外国合伙人变更境内法律文件送达接受人备案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外商投资企业董事会成员备案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公司董事、监事、经理变动备案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公司章程修改备案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企业名称争议裁决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外国企业有权签字人、企业责任形式、资本（资产）、经营范围以及代表发生变更备案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25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公司股权出质登记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股权出质设立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股权出质变更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股权出质注销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股权出质撤销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其他行政权力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企业登记档案查询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公共服务事项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全省企业信用信息查询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无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公共服务事项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省工商局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√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560" w:lineRule="exact"/>
        <w:ind w:right="420" w:rightChars="200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418" w:bottom="1588" w:left="141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A3BA6"/>
    <w:rsid w:val="3E9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2019-05-31T02:08:00Z</dcterms:created>
  <dc:creator>SPT-苏洪洋</dc:creator>
  <cp:lastModifiedBy>SPT-苏洪洋</cp:lastModifiedBy>
  <dcterms:modified xsi:type="dcterms:W3CDTF">2019-05-31T02:12:02Z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