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theme="majorBidi"/>
          <w:b/>
          <w:bCs/>
          <w:sz w:val="44"/>
          <w:szCs w:val="44"/>
        </w:rPr>
      </w:pPr>
      <w:r>
        <w:rPr>
          <w:rFonts w:hint="eastAsia" w:ascii="仿宋" w:hAnsi="仿宋" w:eastAsia="仿宋" w:cstheme="majorBidi"/>
          <w:b/>
          <w:bCs/>
          <w:sz w:val="44"/>
          <w:szCs w:val="44"/>
        </w:rPr>
        <w:t>关于征集有工业设计服务需求的装备制造企业名单的通知</w:t>
      </w:r>
    </w:p>
    <w:p>
      <w:pPr>
        <w:rPr>
          <w:rFonts w:hint="eastAsia" w:ascii="仿宋" w:hAnsi="仿宋" w:eastAsia="仿宋" w:cstheme="majorBidi"/>
          <w:b/>
          <w:bCs/>
          <w:sz w:val="44"/>
          <w:szCs w:val="44"/>
        </w:rPr>
      </w:pPr>
    </w:p>
    <w:p>
      <w:pPr>
        <w:rPr>
          <w:rFonts w:hint="eastAsia" w:ascii="仿宋" w:hAnsi="仿宋" w:eastAsia="仿宋"/>
          <w:b/>
          <w:sz w:val="32"/>
          <w:szCs w:val="32"/>
        </w:rPr>
      </w:pPr>
      <w:r>
        <w:rPr>
          <w:rFonts w:hint="eastAsia" w:ascii="仿宋" w:hAnsi="仿宋" w:eastAsia="仿宋" w:cstheme="majorBidi"/>
          <w:b/>
          <w:bCs/>
          <w:sz w:val="32"/>
          <w:szCs w:val="32"/>
        </w:rPr>
        <w:t>各市州（工信局）</w:t>
      </w:r>
      <w:r>
        <w:rPr>
          <w:rFonts w:hint="eastAsia" w:ascii="仿宋" w:hAnsi="仿宋" w:eastAsia="仿宋"/>
          <w:b/>
          <w:sz w:val="32"/>
          <w:szCs w:val="32"/>
        </w:rPr>
        <w:t>：</w:t>
      </w:r>
    </w:p>
    <w:p>
      <w:pPr>
        <w:ind w:firstLine="643" w:firstLineChars="200"/>
        <w:rPr>
          <w:rFonts w:hint="eastAsia" w:ascii="仿宋" w:hAnsi="仿宋" w:eastAsia="仿宋"/>
          <w:b/>
          <w:sz w:val="32"/>
          <w:szCs w:val="32"/>
        </w:rPr>
      </w:pPr>
      <w:r>
        <w:rPr>
          <w:rFonts w:hint="eastAsia" w:ascii="仿宋" w:hAnsi="仿宋" w:eastAsia="仿宋"/>
          <w:b/>
          <w:sz w:val="32"/>
          <w:szCs w:val="32"/>
        </w:rPr>
        <w:t>我厅拟于10月下旬召开2019湖南省工业设计与装备制造业融合发展专场对接会，届时将邀请工信部领导、全国知名工业设计专家和湖南省有影响力的以装备制造设计为主要业务的工业设计企业参会。为了促进供需双方的交流与合作，确保对接会议的高质量召开，现向全省征集有工业设计服务需求的装备制造企业名单，望各市州积极支持，认真组织，按要求填写《</w:t>
      </w:r>
      <w:r>
        <w:rPr>
          <w:rFonts w:hint="eastAsia" w:ascii="仿宋" w:hAnsi="仿宋" w:eastAsia="仿宋" w:cstheme="majorBidi"/>
          <w:b/>
          <w:bCs/>
          <w:sz w:val="32"/>
          <w:szCs w:val="32"/>
        </w:rPr>
        <w:t>201</w:t>
      </w:r>
      <w:r>
        <w:rPr>
          <w:rFonts w:hint="eastAsia" w:ascii="仿宋" w:hAnsi="仿宋" w:eastAsia="仿宋" w:cstheme="majorBidi"/>
          <w:b/>
          <w:sz w:val="32"/>
          <w:szCs w:val="32"/>
        </w:rPr>
        <w:t>9</w:t>
      </w:r>
      <w:r>
        <w:rPr>
          <w:rFonts w:hint="eastAsia" w:ascii="仿宋" w:hAnsi="仿宋" w:eastAsia="仿宋" w:cstheme="majorBidi"/>
          <w:b/>
          <w:bCs/>
          <w:sz w:val="32"/>
          <w:szCs w:val="32"/>
        </w:rPr>
        <w:t>年湖南省工业设计与制造业融合发展对接会企业服务</w:t>
      </w:r>
      <w:r>
        <w:rPr>
          <w:rFonts w:hint="eastAsia" w:ascii="仿宋" w:hAnsi="仿宋" w:eastAsia="仿宋"/>
          <w:b/>
          <w:sz w:val="32"/>
          <w:szCs w:val="32"/>
        </w:rPr>
        <w:t>需求</w:t>
      </w:r>
      <w:r>
        <w:rPr>
          <w:rFonts w:hint="eastAsia" w:ascii="仿宋" w:hAnsi="仿宋" w:eastAsia="仿宋" w:cstheme="majorBidi"/>
          <w:b/>
          <w:bCs/>
          <w:sz w:val="32"/>
          <w:szCs w:val="32"/>
        </w:rPr>
        <w:t>摸底表</w:t>
      </w:r>
      <w:r>
        <w:rPr>
          <w:rFonts w:hint="eastAsia" w:ascii="仿宋" w:hAnsi="仿宋" w:eastAsia="仿宋"/>
          <w:b/>
          <w:sz w:val="32"/>
          <w:szCs w:val="32"/>
        </w:rPr>
        <w:t>》（见附件），于9月10日前反馈至湖南省工信厅产业政策处。</w:t>
      </w:r>
    </w:p>
    <w:p>
      <w:pPr>
        <w:ind w:firstLine="645"/>
        <w:rPr>
          <w:rFonts w:hint="eastAsia" w:ascii="仿宋" w:hAnsi="仿宋" w:eastAsia="仿宋" w:cstheme="majorBidi"/>
          <w:b/>
          <w:bCs/>
          <w:sz w:val="32"/>
          <w:szCs w:val="32"/>
        </w:rPr>
      </w:pPr>
    </w:p>
    <w:p>
      <w:pPr>
        <w:ind w:firstLine="645"/>
        <w:rPr>
          <w:rFonts w:hint="eastAsia" w:ascii="仿宋" w:hAnsi="仿宋" w:eastAsia="仿宋" w:cstheme="majorBidi"/>
          <w:b/>
          <w:bCs/>
          <w:sz w:val="32"/>
          <w:szCs w:val="32"/>
        </w:rPr>
      </w:pPr>
      <w:r>
        <w:rPr>
          <w:rFonts w:hint="eastAsia" w:ascii="仿宋" w:hAnsi="仿宋" w:eastAsia="仿宋" w:cstheme="majorBidi"/>
          <w:b/>
          <w:bCs/>
          <w:sz w:val="32"/>
          <w:szCs w:val="32"/>
        </w:rPr>
        <w:t>联系电话：88955370</w:t>
      </w:r>
    </w:p>
    <w:p>
      <w:pPr>
        <w:ind w:firstLine="645"/>
        <w:rPr>
          <w:rFonts w:hint="eastAsia" w:ascii="仿宋" w:hAnsi="仿宋" w:eastAsia="仿宋" w:cstheme="majorBidi"/>
          <w:b/>
          <w:bCs/>
          <w:sz w:val="32"/>
          <w:szCs w:val="32"/>
        </w:rPr>
      </w:pPr>
      <w:r>
        <w:rPr>
          <w:rFonts w:hint="eastAsia" w:ascii="仿宋" w:hAnsi="仿宋" w:eastAsia="仿宋" w:cstheme="majorBidi"/>
          <w:b/>
          <w:bCs/>
          <w:sz w:val="32"/>
          <w:szCs w:val="32"/>
        </w:rPr>
        <w:t>邮    箱：hncy82212962@126.com</w:t>
      </w:r>
    </w:p>
    <w:p>
      <w:pPr>
        <w:ind w:firstLine="645"/>
        <w:rPr>
          <w:rFonts w:hint="eastAsia" w:ascii="仿宋" w:hAnsi="仿宋" w:eastAsia="仿宋" w:cstheme="majorBidi"/>
          <w:b/>
          <w:bCs/>
          <w:sz w:val="32"/>
          <w:szCs w:val="32"/>
        </w:rPr>
      </w:pPr>
      <w:r>
        <w:rPr>
          <w:rFonts w:hint="eastAsia" w:ascii="仿宋" w:hAnsi="仿宋" w:eastAsia="仿宋" w:cstheme="majorBidi"/>
          <w:b/>
          <w:bCs/>
          <w:sz w:val="32"/>
          <w:szCs w:val="32"/>
        </w:rPr>
        <w:t>联 系 人：张建军</w:t>
      </w:r>
    </w:p>
    <w:p>
      <w:pPr>
        <w:ind w:firstLine="645"/>
        <w:rPr>
          <w:rFonts w:hint="eastAsia" w:ascii="仿宋" w:hAnsi="仿宋" w:eastAsia="仿宋" w:cstheme="majorBidi"/>
          <w:b/>
          <w:bCs/>
          <w:sz w:val="32"/>
          <w:szCs w:val="32"/>
          <w:u w:val="single"/>
        </w:rPr>
      </w:pPr>
    </w:p>
    <w:p>
      <w:pPr>
        <w:ind w:firstLine="645"/>
        <w:rPr>
          <w:rFonts w:hint="eastAsia" w:ascii="仿宋" w:hAnsi="仿宋" w:eastAsia="仿宋" w:cstheme="majorBidi"/>
          <w:b/>
          <w:bCs/>
          <w:sz w:val="32"/>
          <w:szCs w:val="32"/>
          <w:u w:val="single"/>
        </w:rPr>
      </w:pPr>
    </w:p>
    <w:p>
      <w:pPr>
        <w:ind w:firstLine="4658" w:firstLineChars="1450"/>
        <w:rPr>
          <w:rFonts w:ascii="仿宋" w:hAnsi="仿宋" w:eastAsia="仿宋" w:cstheme="majorBidi"/>
          <w:b/>
          <w:bCs/>
          <w:sz w:val="32"/>
          <w:szCs w:val="32"/>
        </w:rPr>
      </w:pPr>
      <w:r>
        <w:rPr>
          <w:rFonts w:hint="eastAsia" w:ascii="仿宋" w:hAnsi="仿宋" w:eastAsia="仿宋" w:cstheme="majorBidi"/>
          <w:b/>
          <w:bCs/>
          <w:sz w:val="32"/>
          <w:szCs w:val="32"/>
        </w:rPr>
        <w:t>湖南省工信厅产业政策处</w:t>
      </w:r>
    </w:p>
    <w:p>
      <w:pPr>
        <w:rPr>
          <w:rFonts w:hint="eastAsia" w:ascii="仿宋" w:hAnsi="仿宋" w:eastAsia="仿宋" w:cstheme="majorBidi"/>
          <w:b/>
          <w:bCs/>
          <w:sz w:val="32"/>
          <w:szCs w:val="32"/>
        </w:rPr>
      </w:pPr>
      <w:r>
        <w:rPr>
          <w:rFonts w:hint="eastAsia" w:ascii="仿宋" w:hAnsi="仿宋" w:eastAsia="仿宋" w:cstheme="majorBidi"/>
          <w:b/>
          <w:bCs/>
          <w:sz w:val="32"/>
          <w:szCs w:val="32"/>
        </w:rPr>
        <w:t xml:space="preserve">                                </w:t>
      </w:r>
      <w:r>
        <w:rPr>
          <w:rFonts w:ascii="仿宋" w:hAnsi="仿宋" w:eastAsia="仿宋" w:cstheme="majorBidi"/>
          <w:b/>
          <w:bCs/>
          <w:sz w:val="32"/>
          <w:szCs w:val="32"/>
        </w:rPr>
        <w:t>2019年8月23日</w:t>
      </w:r>
    </w:p>
    <w:p>
      <w:pPr>
        <w:rPr>
          <w:rFonts w:hint="eastAsia" w:ascii="仿宋" w:hAnsi="仿宋" w:eastAsia="仿宋" w:cstheme="majorBidi"/>
          <w:b/>
          <w:bCs/>
          <w:sz w:val="32"/>
          <w:szCs w:val="32"/>
        </w:rPr>
      </w:pPr>
    </w:p>
    <w:p>
      <w:pPr>
        <w:rPr>
          <w:rFonts w:hint="eastAsia" w:ascii="仿宋" w:hAnsi="仿宋" w:eastAsia="仿宋" w:cstheme="majorBidi"/>
          <w:b/>
          <w:bCs/>
          <w:sz w:val="32"/>
          <w:szCs w:val="32"/>
          <w:u w:val="single"/>
        </w:rPr>
      </w:pPr>
    </w:p>
    <w:p>
      <w:pPr>
        <w:rPr>
          <w:rFonts w:hint="eastAsia" w:ascii="仿宋" w:hAnsi="仿宋" w:eastAsia="仿宋" w:cstheme="majorBidi"/>
          <w:b/>
          <w:bCs/>
          <w:sz w:val="32"/>
          <w:szCs w:val="32"/>
          <w:u w:val="single"/>
        </w:rPr>
      </w:pPr>
      <w:bookmarkStart w:id="0" w:name="_GoBack"/>
      <w:r>
        <w:rPr>
          <w:rFonts w:hint="eastAsia" w:ascii="仿宋" w:hAnsi="仿宋" w:eastAsia="仿宋" w:cstheme="majorBidi"/>
          <w:b/>
          <w:bCs/>
          <w:sz w:val="32"/>
          <w:szCs w:val="32"/>
          <w:u w:val="single"/>
        </w:rPr>
        <w:t>附件</w:t>
      </w:r>
    </w:p>
    <w:p>
      <w:pPr>
        <w:jc w:val="center"/>
        <w:outlineLvl w:val="0"/>
        <w:rPr>
          <w:rFonts w:ascii="仿宋" w:hAnsi="仿宋" w:eastAsia="仿宋" w:cs="黑体"/>
          <w:b/>
          <w:bCs/>
          <w:sz w:val="36"/>
          <w:szCs w:val="36"/>
        </w:rPr>
      </w:pPr>
      <w:r>
        <w:rPr>
          <w:rFonts w:hint="eastAsia" w:ascii="仿宋" w:hAnsi="仿宋" w:eastAsia="仿宋" w:cs="黑体"/>
          <w:b/>
          <w:bCs/>
          <w:sz w:val="36"/>
          <w:szCs w:val="36"/>
        </w:rPr>
        <w:t>2019年湖南省工业设计与制造业融合发展对接会——工业设计需求摸底表</w:t>
      </w:r>
    </w:p>
    <w:p>
      <w:pPr>
        <w:rPr>
          <w:rFonts w:hint="eastAsia" w:ascii="仿宋" w:hAnsi="仿宋" w:eastAsia="仿宋" w:cs="Times New Roman"/>
          <w:szCs w:val="21"/>
        </w:rPr>
      </w:pPr>
      <w:r>
        <w:rPr>
          <w:rFonts w:hint="eastAsia" w:ascii="仿宋" w:hAnsi="仿宋" w:eastAsia="仿宋" w:cs="Times New Roman"/>
          <w:szCs w:val="21"/>
        </w:rPr>
        <w:t xml:space="preserve"> </w:t>
      </w:r>
    </w:p>
    <w:tbl>
      <w:tblPr>
        <w:tblStyle w:val="3"/>
        <w:tblW w:w="10177" w:type="dxa"/>
        <w:tblInd w:w="-318" w:type="dxa"/>
        <w:tblLayout w:type="fixed"/>
        <w:tblCellMar>
          <w:top w:w="0" w:type="dxa"/>
          <w:left w:w="108" w:type="dxa"/>
          <w:bottom w:w="0" w:type="dxa"/>
          <w:right w:w="108" w:type="dxa"/>
        </w:tblCellMar>
      </w:tblPr>
      <w:tblGrid>
        <w:gridCol w:w="568"/>
        <w:gridCol w:w="1418"/>
        <w:gridCol w:w="1417"/>
        <w:gridCol w:w="1985"/>
        <w:gridCol w:w="2288"/>
        <w:gridCol w:w="1075"/>
        <w:gridCol w:w="1426"/>
      </w:tblGrid>
      <w:tr>
        <w:tblPrEx>
          <w:tblLayout w:type="fixed"/>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企业名称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所属行业</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主要产品</w:t>
            </w:r>
          </w:p>
        </w:tc>
        <w:tc>
          <w:tcPr>
            <w:tcW w:w="22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设计需求</w:t>
            </w:r>
          </w:p>
        </w:tc>
        <w:tc>
          <w:tcPr>
            <w:tcW w:w="10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联系人</w:t>
            </w:r>
          </w:p>
        </w:tc>
        <w:tc>
          <w:tcPr>
            <w:tcW w:w="142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bCs/>
                <w:color w:val="000000"/>
                <w:kern w:val="0"/>
                <w:sz w:val="28"/>
                <w:szCs w:val="28"/>
              </w:rPr>
              <w:t>手机</w:t>
            </w:r>
          </w:p>
        </w:tc>
      </w:tr>
      <w:tr>
        <w:tblPrEx>
          <w:tblLayout w:type="fixed"/>
          <w:tblCellMar>
            <w:top w:w="0" w:type="dxa"/>
            <w:left w:w="108" w:type="dxa"/>
            <w:bottom w:w="0" w:type="dxa"/>
            <w:right w:w="108" w:type="dxa"/>
          </w:tblCellMar>
        </w:tblPrEx>
        <w:trPr>
          <w:trHeight w:val="824" w:hRule="atLeast"/>
        </w:trPr>
        <w:tc>
          <w:tcPr>
            <w:tcW w:w="56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7"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98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2288"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07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26"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c>
          <w:tcPr>
            <w:tcW w:w="141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c>
          <w:tcPr>
            <w:tcW w:w="198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c>
          <w:tcPr>
            <w:tcW w:w="228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c>
          <w:tcPr>
            <w:tcW w:w="107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c>
          <w:tcPr>
            <w:tcW w:w="1426"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98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228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07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26"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98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228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07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26"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98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228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07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26"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7"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98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2288"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07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26"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417"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985"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2288"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075"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426"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r>
      <w:tr>
        <w:tblPrEx>
          <w:tblLayout w:type="fixed"/>
          <w:tblCellMar>
            <w:top w:w="0" w:type="dxa"/>
            <w:left w:w="108" w:type="dxa"/>
            <w:bottom w:w="0" w:type="dxa"/>
            <w:right w:w="108" w:type="dxa"/>
          </w:tblCellMar>
        </w:tblPrEx>
        <w:trPr>
          <w:trHeight w:val="82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color w:val="000000"/>
                <w:kern w:val="0"/>
                <w:sz w:val="22"/>
              </w:rPr>
            </w:pPr>
          </w:p>
        </w:tc>
        <w:tc>
          <w:tcPr>
            <w:tcW w:w="1418"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417"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985"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2288"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075"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c>
          <w:tcPr>
            <w:tcW w:w="1426" w:type="dxa"/>
            <w:tcBorders>
              <w:top w:val="nil"/>
              <w:left w:val="nil"/>
              <w:bottom w:val="single" w:color="auto" w:sz="4" w:space="0"/>
              <w:right w:val="single" w:color="auto" w:sz="4" w:space="0"/>
            </w:tcBorders>
          </w:tcPr>
          <w:p>
            <w:pPr>
              <w:widowControl/>
              <w:jc w:val="center"/>
              <w:rPr>
                <w:rFonts w:ascii="仿宋" w:hAnsi="仿宋" w:eastAsia="仿宋" w:cs="Times New Roman"/>
                <w:color w:val="000000"/>
                <w:kern w:val="0"/>
                <w:sz w:val="22"/>
              </w:rPr>
            </w:pPr>
          </w:p>
        </w:tc>
      </w:tr>
    </w:tbl>
    <w:p>
      <w:pPr>
        <w:rPr>
          <w:rFonts w:hint="eastAsia" w:ascii="仿宋" w:hAnsi="仿宋" w:eastAsia="仿宋" w:cs="Times New Roman"/>
          <w:color w:val="FF0000"/>
          <w:sz w:val="32"/>
          <w:szCs w:val="32"/>
          <w:shd w:val="clear" w:color="auto" w:fill="FFFFFF"/>
        </w:rPr>
      </w:pPr>
      <w:r>
        <w:rPr>
          <w:rFonts w:hint="eastAsia" w:ascii="仿宋" w:hAnsi="仿宋" w:eastAsia="仿宋" w:cs="Times New Roman"/>
          <w:color w:val="FF0000"/>
          <w:sz w:val="32"/>
          <w:szCs w:val="32"/>
          <w:shd w:val="clear" w:color="auto" w:fill="FFFFFF"/>
        </w:rPr>
        <w:t xml:space="preserve"> </w:t>
      </w:r>
    </w:p>
    <w:p>
      <w:pPr>
        <w:rPr>
          <w:rFonts w:hint="eastAsia" w:ascii="仿宋" w:hAnsi="仿宋" w:eastAsia="仿宋" w:cs="Times New Roman"/>
          <w:color w:val="FF0000"/>
          <w:sz w:val="32"/>
          <w:szCs w:val="32"/>
          <w:shd w:val="clear" w:color="auto" w:fill="FFFFFF"/>
        </w:rPr>
      </w:pPr>
      <w:r>
        <w:rPr>
          <w:rFonts w:hint="eastAsia" w:ascii="仿宋" w:hAnsi="仿宋" w:eastAsia="仿宋" w:cs="Times New Roman"/>
          <w:color w:val="FF0000"/>
          <w:sz w:val="32"/>
          <w:szCs w:val="32"/>
          <w:shd w:val="clear" w:color="auto" w:fill="FFFFFF"/>
        </w:rPr>
        <w:t xml:space="preserve"> </w:t>
      </w:r>
    </w:p>
    <w:p>
      <w:pPr>
        <w:rPr>
          <w:rFonts w:hint="eastAsia" w:ascii="Times New Roman" w:hAnsi="Times New Roman" w:eastAsia="宋体" w:cs="Times New Roman"/>
          <w:szCs w:val="21"/>
        </w:rPr>
      </w:pPr>
    </w:p>
    <w:p>
      <w:pPr>
        <w:rPr>
          <w:rFonts w:hint="eastAsia" w:ascii="仿宋" w:hAnsi="仿宋" w:eastAsia="仿宋" w:cstheme="majorBidi"/>
          <w:b/>
          <w:bCs/>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26"/>
    <w:rsid w:val="00000F69"/>
    <w:rsid w:val="00002399"/>
    <w:rsid w:val="00030681"/>
    <w:rsid w:val="00040370"/>
    <w:rsid w:val="00041CA4"/>
    <w:rsid w:val="000535AA"/>
    <w:rsid w:val="00086CD8"/>
    <w:rsid w:val="00096115"/>
    <w:rsid w:val="000B61A5"/>
    <w:rsid w:val="000C1A9F"/>
    <w:rsid w:val="000D34EF"/>
    <w:rsid w:val="000D6252"/>
    <w:rsid w:val="00106548"/>
    <w:rsid w:val="00111743"/>
    <w:rsid w:val="00123796"/>
    <w:rsid w:val="001421FE"/>
    <w:rsid w:val="00163399"/>
    <w:rsid w:val="001700CD"/>
    <w:rsid w:val="001B3A12"/>
    <w:rsid w:val="001C0FD0"/>
    <w:rsid w:val="001F3486"/>
    <w:rsid w:val="00207A16"/>
    <w:rsid w:val="0021028A"/>
    <w:rsid w:val="0021076D"/>
    <w:rsid w:val="002116FD"/>
    <w:rsid w:val="0021179F"/>
    <w:rsid w:val="002178DE"/>
    <w:rsid w:val="00226823"/>
    <w:rsid w:val="002268C4"/>
    <w:rsid w:val="00233B17"/>
    <w:rsid w:val="002646DF"/>
    <w:rsid w:val="00270065"/>
    <w:rsid w:val="00271956"/>
    <w:rsid w:val="00280C76"/>
    <w:rsid w:val="00281188"/>
    <w:rsid w:val="00294A5A"/>
    <w:rsid w:val="002A52F4"/>
    <w:rsid w:val="002A6F96"/>
    <w:rsid w:val="002B3BBE"/>
    <w:rsid w:val="002F078F"/>
    <w:rsid w:val="003015F0"/>
    <w:rsid w:val="00327826"/>
    <w:rsid w:val="003456D7"/>
    <w:rsid w:val="00360090"/>
    <w:rsid w:val="00363F15"/>
    <w:rsid w:val="00374493"/>
    <w:rsid w:val="0038036D"/>
    <w:rsid w:val="00383202"/>
    <w:rsid w:val="0038405D"/>
    <w:rsid w:val="003926B4"/>
    <w:rsid w:val="003D45CC"/>
    <w:rsid w:val="003F6A4C"/>
    <w:rsid w:val="00406E75"/>
    <w:rsid w:val="00413057"/>
    <w:rsid w:val="00417C68"/>
    <w:rsid w:val="0042725B"/>
    <w:rsid w:val="00435B45"/>
    <w:rsid w:val="00453D81"/>
    <w:rsid w:val="0049692B"/>
    <w:rsid w:val="004A721F"/>
    <w:rsid w:val="004A76A9"/>
    <w:rsid w:val="004B7BF8"/>
    <w:rsid w:val="004D4980"/>
    <w:rsid w:val="004E434C"/>
    <w:rsid w:val="005104C0"/>
    <w:rsid w:val="00550896"/>
    <w:rsid w:val="00566D8A"/>
    <w:rsid w:val="00571FAB"/>
    <w:rsid w:val="005772CB"/>
    <w:rsid w:val="00577D14"/>
    <w:rsid w:val="005920E8"/>
    <w:rsid w:val="005A14B2"/>
    <w:rsid w:val="005C0E59"/>
    <w:rsid w:val="005C166E"/>
    <w:rsid w:val="005C1796"/>
    <w:rsid w:val="005C5C9B"/>
    <w:rsid w:val="005D0248"/>
    <w:rsid w:val="005D7931"/>
    <w:rsid w:val="005F60B4"/>
    <w:rsid w:val="006060E0"/>
    <w:rsid w:val="006223BE"/>
    <w:rsid w:val="00654FF1"/>
    <w:rsid w:val="00686D67"/>
    <w:rsid w:val="006A2C01"/>
    <w:rsid w:val="006A4747"/>
    <w:rsid w:val="006A4CCB"/>
    <w:rsid w:val="006B1082"/>
    <w:rsid w:val="006B5DC2"/>
    <w:rsid w:val="006C001F"/>
    <w:rsid w:val="006C2297"/>
    <w:rsid w:val="006D3CA7"/>
    <w:rsid w:val="006F3925"/>
    <w:rsid w:val="00713BE9"/>
    <w:rsid w:val="007361C7"/>
    <w:rsid w:val="007408AE"/>
    <w:rsid w:val="00756F3A"/>
    <w:rsid w:val="00762939"/>
    <w:rsid w:val="0078049A"/>
    <w:rsid w:val="007B162A"/>
    <w:rsid w:val="007B2ED2"/>
    <w:rsid w:val="007B4E63"/>
    <w:rsid w:val="007E2D19"/>
    <w:rsid w:val="007F4046"/>
    <w:rsid w:val="008110BD"/>
    <w:rsid w:val="008340AD"/>
    <w:rsid w:val="0083570D"/>
    <w:rsid w:val="008415C1"/>
    <w:rsid w:val="00845DE4"/>
    <w:rsid w:val="00851A26"/>
    <w:rsid w:val="0085359F"/>
    <w:rsid w:val="008805A8"/>
    <w:rsid w:val="00890CC2"/>
    <w:rsid w:val="008921C2"/>
    <w:rsid w:val="00895D18"/>
    <w:rsid w:val="008C37B2"/>
    <w:rsid w:val="008D29E8"/>
    <w:rsid w:val="008F6ED5"/>
    <w:rsid w:val="00923175"/>
    <w:rsid w:val="00944A24"/>
    <w:rsid w:val="00981390"/>
    <w:rsid w:val="00984F0B"/>
    <w:rsid w:val="009A6501"/>
    <w:rsid w:val="009E2890"/>
    <w:rsid w:val="00A01E98"/>
    <w:rsid w:val="00A119F9"/>
    <w:rsid w:val="00A24092"/>
    <w:rsid w:val="00A3271B"/>
    <w:rsid w:val="00A4699C"/>
    <w:rsid w:val="00A5675C"/>
    <w:rsid w:val="00A7528B"/>
    <w:rsid w:val="00AF1F8D"/>
    <w:rsid w:val="00B015BA"/>
    <w:rsid w:val="00B16EF7"/>
    <w:rsid w:val="00B31E07"/>
    <w:rsid w:val="00B31E81"/>
    <w:rsid w:val="00B3479D"/>
    <w:rsid w:val="00B374C8"/>
    <w:rsid w:val="00B40981"/>
    <w:rsid w:val="00BA5D48"/>
    <w:rsid w:val="00BB5431"/>
    <w:rsid w:val="00BC45CB"/>
    <w:rsid w:val="00BC785C"/>
    <w:rsid w:val="00BE7D58"/>
    <w:rsid w:val="00BF4088"/>
    <w:rsid w:val="00C10B41"/>
    <w:rsid w:val="00C25D6E"/>
    <w:rsid w:val="00C3648F"/>
    <w:rsid w:val="00C428B7"/>
    <w:rsid w:val="00C50085"/>
    <w:rsid w:val="00C64492"/>
    <w:rsid w:val="00C7669D"/>
    <w:rsid w:val="00C806C5"/>
    <w:rsid w:val="00C9703A"/>
    <w:rsid w:val="00CA3B4A"/>
    <w:rsid w:val="00CB2248"/>
    <w:rsid w:val="00CC24E8"/>
    <w:rsid w:val="00CD5984"/>
    <w:rsid w:val="00CE48C3"/>
    <w:rsid w:val="00CE7BC5"/>
    <w:rsid w:val="00CF5D21"/>
    <w:rsid w:val="00CF72A0"/>
    <w:rsid w:val="00D266E3"/>
    <w:rsid w:val="00D3263E"/>
    <w:rsid w:val="00D34DB7"/>
    <w:rsid w:val="00D85F10"/>
    <w:rsid w:val="00D91CBD"/>
    <w:rsid w:val="00DA0C30"/>
    <w:rsid w:val="00DA7492"/>
    <w:rsid w:val="00DE481E"/>
    <w:rsid w:val="00DF4310"/>
    <w:rsid w:val="00E15E59"/>
    <w:rsid w:val="00E16C11"/>
    <w:rsid w:val="00E30CDC"/>
    <w:rsid w:val="00E3172D"/>
    <w:rsid w:val="00E358A1"/>
    <w:rsid w:val="00E91BC7"/>
    <w:rsid w:val="00EC2C2A"/>
    <w:rsid w:val="00EC402D"/>
    <w:rsid w:val="00ED51BD"/>
    <w:rsid w:val="00F10DF6"/>
    <w:rsid w:val="00F13CA7"/>
    <w:rsid w:val="00F416AE"/>
    <w:rsid w:val="00F55E06"/>
    <w:rsid w:val="00F57E6D"/>
    <w:rsid w:val="00FB2020"/>
    <w:rsid w:val="00FB2A39"/>
    <w:rsid w:val="00FC1CD5"/>
    <w:rsid w:val="00FD1FE1"/>
    <w:rsid w:val="00FD202B"/>
    <w:rsid w:val="00FD5B81"/>
    <w:rsid w:val="7895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439</Characters>
  <Lines>3</Lines>
  <Paragraphs>1</Paragraphs>
  <TotalTime>62</TotalTime>
  <ScaleCrop>false</ScaleCrop>
  <LinksUpToDate>false</LinksUpToDate>
  <CharactersWithSpaces>514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2019-08-23T08:54:00Z</dcterms:created>
  <dc:creator>张建军 192.168.8.115</dc:creator>
  <cp:lastModifiedBy>兰亚南</cp:lastModifiedBy>
  <cp:lastPrinted>2019-08-23T09:49:00Z</cp:lastPrinted>
  <dcterms:modified xsi:type="dcterms:W3CDTF">2019-08-26T06:43:48Z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