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产业集群窗口服务平台2019年二季度线上服务统计表</w:t>
      </w:r>
    </w:p>
    <w:tbl>
      <w:tblPr>
        <w:tblStyle w:val="3"/>
        <w:tblW w:w="114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26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37"/>
        <w:gridCol w:w="741"/>
        <w:gridCol w:w="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服务项目量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企业入库量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活动次数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服务交易量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二季度增量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长沙电子信息产业 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2568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浏阳市花炮产业集群窗口平台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长沙生物医药产业 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有色金属矿产资源综合利用产业集群窗口平台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7962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长沙汽车及零部件 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7832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湖南食品行业产业 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株洲市硬质合金产业集群窗口平台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醴陵市烟花爆竹产业集群窗口平台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2849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株洲市轨道交通装备产业集群窗口平台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5862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株洲芦淞服饰产业 集群窗口平台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4100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767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湘潭市矿山装备产业集群窗口平台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湘潭市钢材深加工 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4523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衡阳市输变电产业 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衡阳市盐卤及精细化工产业集群窗口平台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岳阳市精细化工产业集群窗口平台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岳阳市纺织产业集群窗口平台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安化县黑茶产业集群窗口平台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永兴稀贵金属产业 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5684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永州市食品产业集群窗口平台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娄底农机机电产业 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464A0"/>
    <w:rsid w:val="5B3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2019-08-30T08:40:00Z</dcterms:created>
  <dc:creator>SPT-苏洪洋</dc:creator>
  <cp:lastModifiedBy>SPT-苏洪洋</cp:lastModifiedBy>
  <dcterms:modified xsi:type="dcterms:W3CDTF">2019-08-30T08:40:47Z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