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b/>
          <w:i w:val="0"/>
          <w:caps w:val="0"/>
          <w:color w:val="C61833"/>
          <w:spacing w:val="30"/>
          <w:sz w:val="24"/>
          <w:szCs w:val="24"/>
          <w:u w:val="none"/>
        </w:rPr>
      </w:pPr>
      <w:r>
        <w:rPr>
          <w:rFonts w:hint="eastAsia" w:ascii="微软雅黑" w:hAnsi="微软雅黑" w:eastAsia="微软雅黑" w:cs="微软雅黑"/>
          <w:b/>
          <w:i w:val="0"/>
          <w:caps w:val="0"/>
          <w:color w:val="C61833"/>
          <w:spacing w:val="30"/>
          <w:kern w:val="0"/>
          <w:sz w:val="24"/>
          <w:szCs w:val="24"/>
          <w:u w:val="none"/>
          <w:bdr w:val="none" w:color="auto" w:sz="0" w:space="0"/>
          <w:vertAlign w:val="baseline"/>
          <w:lang w:val="en-US" w:eastAsia="zh-CN" w:bidi="ar"/>
        </w:rPr>
        <w:t>湖南省金融支持疫情防控和企业复工复产的若干措施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微软雅黑" w:hAnsi="微软雅黑" w:eastAsia="微软雅黑" w:cs="微软雅黑"/>
          <w:i w:val="0"/>
          <w:caps w:val="0"/>
          <w:color w:val="333333"/>
          <w:spacing w:val="0"/>
          <w:sz w:val="21"/>
          <w:szCs w:val="21"/>
          <w:u w:val="none"/>
        </w:rPr>
      </w:pPr>
      <w:r>
        <w:rPr>
          <w:rFonts w:hint="eastAsia" w:ascii="微软雅黑" w:hAnsi="微软雅黑" w:eastAsia="微软雅黑" w:cs="微软雅黑"/>
          <w:i w:val="0"/>
          <w:caps w:val="0"/>
          <w:color w:val="333333"/>
          <w:spacing w:val="0"/>
          <w:kern w:val="0"/>
          <w:sz w:val="21"/>
          <w:szCs w:val="21"/>
          <w:u w:val="none"/>
          <w:bdr w:val="none" w:color="auto" w:sz="0" w:space="0"/>
          <w:vertAlign w:val="baseline"/>
          <w:lang w:val="en-US" w:eastAsia="zh-CN" w:bidi="ar"/>
        </w:rPr>
        <w:t>发布时间：2020年02月09日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485"/>
        <w:gridCol w:w="5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4485" w:type="dxa"/>
            <w:tcBorders>
              <w:top w:val="nil"/>
              <w:left w:val="nil"/>
              <w:bottom w:val="dashed" w:color="DBDBDB" w:sz="6" w:space="0"/>
              <w:right w:val="nil"/>
            </w:tcBorders>
            <w:shd w:val="clear"/>
            <w:tcMar>
              <w:left w:w="3000" w:type="dxa"/>
            </w:tcMar>
            <w:vAlign w:val="top"/>
          </w:tcPr>
          <w:p>
            <w:pPr>
              <w:keepNext w:val="0"/>
              <w:keepLines w:val="0"/>
              <w:widowControl/>
              <w:suppressLineNumbers w:val="0"/>
              <w:spacing w:before="0" w:beforeAutospacing="0" w:after="0" w:afterAutospacing="0"/>
              <w:ind w:left="0" w:right="0"/>
              <w:jc w:val="left"/>
              <w:textAlignment w:val="baseline"/>
              <w:rPr>
                <w:i w:val="0"/>
                <w:u w:val="none"/>
              </w:rPr>
            </w:pPr>
            <w:r>
              <w:rPr>
                <w:rFonts w:ascii="宋体" w:hAnsi="宋体" w:eastAsia="宋体" w:cs="宋体"/>
                <w:i w:val="0"/>
                <w:kern w:val="0"/>
                <w:sz w:val="24"/>
                <w:szCs w:val="24"/>
                <w:u w:val="none"/>
                <w:bdr w:val="none" w:color="auto" w:sz="0" w:space="0"/>
                <w:vertAlign w:val="baseline"/>
                <w:lang w:val="en-US" w:eastAsia="zh-CN" w:bidi="ar"/>
              </w:rPr>
              <w:t>文件级别：</w:t>
            </w:r>
            <w:r>
              <w:rPr>
                <w:rFonts w:ascii="宋体" w:hAnsi="宋体" w:eastAsia="宋体" w:cs="宋体"/>
                <w:i w:val="0"/>
                <w:color w:val="C61833"/>
                <w:kern w:val="0"/>
                <w:sz w:val="24"/>
                <w:szCs w:val="24"/>
                <w:u w:val="none"/>
                <w:bdr w:val="none" w:color="auto" w:sz="0" w:space="0"/>
                <w:vertAlign w:val="baseline"/>
                <w:lang w:val="en-US" w:eastAsia="zh-CN" w:bidi="ar"/>
              </w:rPr>
              <w:t>省级</w:t>
            </w:r>
          </w:p>
        </w:tc>
        <w:tc>
          <w:tcPr>
            <w:tcW w:w="5985" w:type="dxa"/>
            <w:tcBorders>
              <w:top w:val="nil"/>
              <w:left w:val="nil"/>
              <w:bottom w:val="dashed" w:color="DBDBDB" w:sz="6" w:space="0"/>
              <w:right w:val="nil"/>
            </w:tcBorders>
            <w:shd w:val="clear"/>
            <w:vAlign w:val="top"/>
          </w:tcPr>
          <w:p>
            <w:pPr>
              <w:keepNext w:val="0"/>
              <w:keepLines w:val="0"/>
              <w:widowControl/>
              <w:suppressLineNumbers w:val="0"/>
              <w:spacing w:before="0" w:beforeAutospacing="0" w:after="0" w:afterAutospacing="0"/>
              <w:ind w:left="0" w:right="0"/>
              <w:jc w:val="left"/>
              <w:textAlignment w:val="baseline"/>
              <w:rPr>
                <w:i w:val="0"/>
                <w:u w:val="none"/>
              </w:rPr>
            </w:pPr>
            <w:r>
              <w:rPr>
                <w:rFonts w:ascii="宋体" w:hAnsi="宋体" w:eastAsia="宋体" w:cs="宋体"/>
                <w:i w:val="0"/>
                <w:kern w:val="0"/>
                <w:sz w:val="24"/>
                <w:szCs w:val="24"/>
                <w:u w:val="none"/>
                <w:bdr w:val="none" w:color="auto" w:sz="0" w:space="0"/>
                <w:vertAlign w:val="baseline"/>
                <w:lang w:val="en-US" w:eastAsia="zh-CN" w:bidi="ar"/>
              </w:rPr>
              <w:t>主题分类：</w:t>
            </w:r>
            <w:r>
              <w:rPr>
                <w:rFonts w:ascii="宋体" w:hAnsi="宋体" w:eastAsia="宋体" w:cs="宋体"/>
                <w:i w:val="0"/>
                <w:color w:val="C61833"/>
                <w:kern w:val="0"/>
                <w:sz w:val="24"/>
                <w:szCs w:val="24"/>
                <w:u w:val="none"/>
                <w:bdr w:val="none" w:color="auto" w:sz="0" w:space="0"/>
                <w:vertAlign w:val="baseline"/>
                <w:lang w:val="en-US" w:eastAsia="zh-CN" w:bidi="ar"/>
              </w:rPr>
              <w:t>投融资</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一、加大信贷投放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各银行机构要加大对中小微企业的信贷支持，确保新增贷款不低于上年同期。对受疫情影响较大的批发零售、住宿餐饮、物流运输、文化旅游等行业，以及有发展前景但暂时受困的企业，不得盲目抽贷、断贷、压贷。对受疫情影响严重的企业到期还款困难的，可展期或续贷。安排专项再贷款50亿元，支持长沙银行、华融湘江银行、长沙农商银行等3家地方法人机构向省级重点医用物品和生活物资名单企业提供优惠利率贷款。开发性、政策性银行和国有商业银行等9家全国性银行在湘机构要积极向上争取专项再贷款额度，主动对接我省纳入全国性重点医用物品和生活物资名单企业的信贷需求，加大支持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二、降低融资成本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各银行机构要通过适当下调贷款利率、减免其他费用成本等方式，能减则减、能免则免，进一步降低企业综合融资成本。对受疫情影响较大的小微企业新发放贷款利率原则上不高于本行同期全部小微企业贷款加权平均利率，普惠型小微企业贷款综合融资成本要较上年降低0.5个百分点。省财政对单个小微企业贷款本金损失补偿比例由50%提高到60%，最高补偿金额由100万元提高到110万元。对列入专项再贷款和财政贴息名单的重点企业，各银行贷款利率上限为最近公布的1年期LPR减100个基点，由中央财政按50%给予贴息，企业实际融资成本应低于1.6%，鼓励金融机构以低于上限利率发放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三、优化金融服务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各银行机构通过线上服务等方式为企业提供贷款审批、资金结算等服务，特事特办，急事急办，快速响应。通过专项再贷款发放的优惠利率贷款原则上不超过24小时，最长不超过48小时。开通绿色通道，对因防疫急需开户而手续不全的，银行可向当地人民银行备案后先开立后补报、先开立后核准。因防疫开立的非企业类单位结算账户，力争账户开立之日即可办理付款业务。持续深入开展“百行进万企”专项行动，快速了解企业受疫情影响情况及金融需求，精准对接。对受疫情影响的出险客户优先办理保险理赔，做到应赔尽赔快赔。加大能为疫情防控提供保险保障的产品推广，可在重疾险等健康保险产品中扩展承保新冠肺炎责任，有效提供保险供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四、实行审慎宽容监管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对因感染新冠肺炎住院治疗或隔离人员、疫情防控需要隔离观察人员和参加疫情防控工作人员，因疫情影响未能及时还款的，相关逾期贷款可不作为逾期记录。对上述三类人员以及受疫情影响暂时失去收入来源的人群，灵活调整住房按揭、信用卡等个人信贷还款安排，合理延后还款期限。感染新冠肺炎的个人创业担保贷款可展期一年，继续享受财政贴息支持。对受疫情影响暂时失去收入来源的个人和企业，可依调整后的还款安排，向征信系统报送相关信用记录。支持受疫情影响，按期披露业绩预告、快报或定期报告有困难的企业，依据证监会及所在交易场所有关制度安排，申请延期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五、发挥政府性融资担保体系作用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各级政府性融资担保机构要通过取消反担保要求、降低担保费率等措施，为受疫情影响较大的小微企业提供担保支持，同级财政视降费减收情况给予适当补助。省融资担保集团对纳入再担保体系的政府性融资担保机构收取的再担保费减少50%。对确无还款能力的小微企业，各级政府性融资担保机构应及时代偿，视疫情影响情况适当延长追偿时限，符合条件的按规定及时核销代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六、拓宽企业直接融资渠道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鼓励和支持企业通过发行公司信用债、资产支持证券等尽快募集资金复工复产。建立疫情防控重点上市后备企业名录，对相关企业在辅导备案、验收等方面给予优先安排，支持符合条件的企业尽快通过首次公开发行股票上市融资。疫情防控期间，证券机构对防疫物资重点生产企业上市、发债降低中介服务费的，省财政优先纳入融资创新奖励范围。对拟在沪深证券交易所上市、“新三板”挂牌的防疫物资重点生产企业，省财政优先给予直接融资补助。对发行中小企业集合债、私募债、私募可转债的防疫物资重点生产企业，省财政优先给予利息补助。对投资于省内防疫物资重点生产企业的股权投资机构，省财政优先给予补助。防疫物资重点生产企业到湖南股权交易所挂牌的，免收挂牌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七、建立重点项目和重点企业名单库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人民银行长沙中心支行配合政府有关部门对全省复工复产的重大建设项目、重点工业企业、重点医用物品和生活物资企业等建立重点名单库，及时向银行机构发布，督促银行通过融资对接会、线上平台等方式，掌握相关融资需求，主动对接，全力做好融资服务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八、改善外汇管理和跨境人民币服务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简化疫情防控相关物资进口、捐赠等进口购付汇流程和材料。对境内外因支援疫情汇入的外汇捐赠资金，暂停实施需开立捐赠外汇账户的要求，可直接通过受赠单位已有的经常项目外汇结算账户办理。与疫情防控有关的其他特殊外汇及人民币跨境业务，银行可先办理、后检查，并向所在地外汇局、人民银行报备。涉外企业办理与疫情防控相关的资本项目收入结汇支付时，无需事前、逐笔提交单证材料，由银行事后检查。对疫情防控所需的外债登记业务，可取消企业借用外债额度，并可线上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300" w:afterAutospacing="0" w:line="435" w:lineRule="atLeast"/>
        <w:ind w:left="0" w:right="0"/>
        <w:jc w:val="both"/>
        <w:textAlignment w:val="baseline"/>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vertAlign w:val="baseline"/>
        </w:rPr>
        <w:t>　　以上措施的实施期为文件印发之日起至疫情解除。</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40A7C"/>
    <w:rsid w:val="3AC40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2020-10-28T08:02:00Z</dcterms:created>
  <dc:creator>向阳花</dc:creator>
  <cp:lastModifiedBy>向阳花</cp:lastModifiedBy>
  <dcterms:modified xsi:type="dcterms:W3CDTF">2020-10-28T08:02:42Z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