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00" w:rsidRDefault="00C62400" w:rsidP="00C62400">
      <w:pPr>
        <w:widowControl/>
        <w:spacing w:line="600" w:lineRule="exact"/>
        <w:jc w:val="left"/>
        <w:rPr>
          <w:rFonts w:ascii="方正小标宋简体" w:eastAsia="方正小标宋简体"/>
          <w:sz w:val="32"/>
          <w:szCs w:val="32"/>
        </w:rPr>
      </w:pPr>
      <w:r>
        <w:rPr>
          <w:rFonts w:ascii="黑体" w:eastAsia="黑体" w:hint="eastAsia"/>
          <w:sz w:val="32"/>
          <w:szCs w:val="32"/>
        </w:rPr>
        <w:t>附件1</w:t>
      </w:r>
    </w:p>
    <w:p w:rsidR="00C62400" w:rsidRDefault="00C62400" w:rsidP="00C62400">
      <w:pPr>
        <w:widowControl/>
        <w:spacing w:line="600" w:lineRule="exact"/>
        <w:jc w:val="center"/>
        <w:rPr>
          <w:rFonts w:ascii="方正小标宋简体" w:eastAsia="方正小标宋简体" w:hAnsi="Times New Roman" w:hint="eastAsia"/>
          <w:color w:val="000000"/>
          <w:sz w:val="44"/>
          <w:szCs w:val="44"/>
        </w:rPr>
      </w:pPr>
      <w:r>
        <w:rPr>
          <w:rFonts w:ascii="方正小标宋简体" w:eastAsia="方正小标宋简体" w:hAnsi="Times New Roman" w:hint="eastAsia"/>
          <w:color w:val="000000"/>
          <w:sz w:val="44"/>
          <w:szCs w:val="44"/>
        </w:rPr>
        <w:t>移动互联网产业范畴</w:t>
      </w:r>
    </w:p>
    <w:p w:rsidR="00C62400" w:rsidRDefault="00C62400" w:rsidP="00C62400">
      <w:pPr>
        <w:widowControl/>
        <w:spacing w:line="600" w:lineRule="exact"/>
        <w:jc w:val="left"/>
        <w:rPr>
          <w:rFonts w:ascii="Times New Roman" w:eastAsia="黑体" w:hAnsi="Times New Roman" w:hint="eastAsia"/>
          <w:color w:val="000000"/>
          <w:sz w:val="36"/>
          <w:szCs w:val="36"/>
        </w:rPr>
      </w:pP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移动互联网产业是指面向移动互联网和基于移动互联网方式提供产品和服务的经济活动的总和，是一种新兴业态。主要包括以下几类内容：</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面向移动互联网的研发设计和软件开发，包括面向移动智能终端、移动网络、应用系统的研发设计和操作系统、数据库、中间件、应用软件、嵌入式软件、信息安全等软件开发。</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面向移动互联网的平台支撑，包括移动互联网分发平台、数据处理和存储服务等。</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基于移动互联网的金融和商务服务，包括第三方支付和结算、移动电子商务、移动互联网虚拟物品交易、移动广告、企业信息化服务等。</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基于移动互联网的社会公共服务，包括移动教育、移动医疗、移动办公、智能交通、安全监控、公用事业、社区服务、环境综合气象等。</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基于移动互联网的生活服务，包括移动资讯、移动搜索、社交网络、餐饮、旅游、健康、位置服务、智能家居等。</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基于移动互联网的文化娱乐服务，包括移动阅读、移动视频、手机音乐、手机游戏、手机动漫等。</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7.</w:t>
      </w:r>
      <w:r>
        <w:rPr>
          <w:rFonts w:ascii="Times New Roman" w:eastAsia="仿宋_GB2312" w:hAnsi="Times New Roman" w:hint="eastAsia"/>
          <w:color w:val="000000"/>
          <w:sz w:val="32"/>
          <w:szCs w:val="32"/>
        </w:rPr>
        <w:t>基于移动物联网的应用服务，包括人机交互、智能物流、车联网、远程测试诊断、在线节能监管等基于移动互联网、北斗、</w:t>
      </w:r>
      <w:r>
        <w:rPr>
          <w:rFonts w:ascii="Times New Roman" w:eastAsia="仿宋_GB2312" w:hAnsi="Times New Roman"/>
          <w:color w:val="000000"/>
          <w:sz w:val="32"/>
          <w:szCs w:val="32"/>
        </w:rPr>
        <w:t>RFID</w:t>
      </w:r>
      <w:r>
        <w:rPr>
          <w:rFonts w:ascii="Times New Roman" w:eastAsia="仿宋_GB2312" w:hAnsi="Times New Roman" w:hint="eastAsia"/>
          <w:color w:val="000000"/>
          <w:sz w:val="32"/>
          <w:szCs w:val="32"/>
        </w:rPr>
        <w:t>等多制式、面向行业应用的物联网专业服务。</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基于移动互联网的融合创新服务，包括基于智能手机感知的应用，移动互联网与物联网、云计算、大数据等融合发展的新兴业态、移动互联网应用拓展等。</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hint="eastAsia"/>
          <w:color w:val="000000"/>
          <w:sz w:val="32"/>
          <w:szCs w:val="32"/>
        </w:rPr>
        <w:t>面向移动互联网产业的支撑服务，包括系统集成、推广应用、技术咨询、人才培养等。</w:t>
      </w:r>
    </w:p>
    <w:p w:rsidR="00C62400" w:rsidRDefault="00C62400" w:rsidP="00C62400">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其它与移动互联网相关的技术开发或应用服务。</w:t>
      </w:r>
    </w:p>
    <w:p w:rsidR="00FF6060" w:rsidRPr="00C62400" w:rsidRDefault="00FF6060">
      <w:bookmarkStart w:id="0" w:name="_GoBack"/>
      <w:bookmarkEnd w:id="0"/>
    </w:p>
    <w:sectPr w:rsidR="00FF6060" w:rsidRPr="00C624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永中宋体">
    <w:altName w:val="微软雅黑"/>
    <w:charset w:val="86"/>
    <w:family w:val="auto"/>
    <w:pitch w:val="variable"/>
    <w:sig w:usb0="00000000" w:usb1="080E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1C"/>
    <w:rsid w:val="0043641C"/>
    <w:rsid w:val="00C62400"/>
    <w:rsid w:val="00FF6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00"/>
    <w:pPr>
      <w:widowControl w:val="0"/>
      <w:jc w:val="both"/>
    </w:pPr>
    <w:rPr>
      <w:rFonts w:ascii="等线" w:eastAsia="等线" w:hAnsi="永中宋体"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00"/>
    <w:pPr>
      <w:widowControl w:val="0"/>
      <w:jc w:val="both"/>
    </w:pPr>
    <w:rPr>
      <w:rFonts w:ascii="等线" w:eastAsia="等线" w:hAnsi="永中宋体"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332</Characters>
  <Application>Microsoft Office Word</Application>
  <DocSecurity>0</DocSecurity>
  <Lines>19</Lines>
  <Paragraphs>17</Paragraphs>
  <ScaleCrop>false</ScaleCrop>
  <Company>长沙盛韵电子科技有限公司</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2020-06-08T08:14:00Z</dcterms:created>
  <dcterms:modified xsi:type="dcterms:W3CDTF">2020-06-08T08:15:00Z</dcterms:modified>
</cp:coreProperties>
</file>