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：</w:t>
      </w:r>
    </w:p>
    <w:p>
      <w:pPr>
        <w:pStyle w:val="4"/>
        <w:widowControl w:val="0"/>
        <w:spacing w:before="0" w:beforeAutospacing="0" w:after="0" w:afterAutospacing="0"/>
        <w:jc w:val="center"/>
        <w:rPr>
          <w:rFonts w:hint="eastAsia"/>
          <w:b/>
          <w:kern w:val="2"/>
          <w:sz w:val="32"/>
          <w:szCs w:val="32"/>
        </w:rPr>
      </w:pPr>
      <w:r>
        <w:rPr>
          <w:rFonts w:hint="eastAsia"/>
          <w:b/>
          <w:kern w:val="2"/>
          <w:sz w:val="32"/>
          <w:szCs w:val="32"/>
        </w:rPr>
        <w:t>“湖南省第</w:t>
      </w:r>
      <w:r>
        <w:rPr>
          <w:rFonts w:hint="eastAsia"/>
          <w:b/>
          <w:kern w:val="2"/>
          <w:sz w:val="32"/>
          <w:szCs w:val="32"/>
          <w:lang w:eastAsia="zh-CN"/>
        </w:rPr>
        <w:t>六</w:t>
      </w:r>
      <w:r>
        <w:rPr>
          <w:rFonts w:hint="eastAsia"/>
          <w:b/>
          <w:kern w:val="2"/>
          <w:sz w:val="32"/>
          <w:szCs w:val="32"/>
        </w:rPr>
        <w:t>届中小企业服务大会”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60" w:tblpY="1019"/>
        <w:tblOverlap w:val="never"/>
        <w:tblW w:w="9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825"/>
        <w:gridCol w:w="930"/>
        <w:gridCol w:w="1200"/>
        <w:gridCol w:w="108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服务机构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服务案例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服务案例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创业培训与辅导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□知识产权保护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管理咨询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□信息咨询</w:t>
            </w:r>
          </w:p>
          <w:p>
            <w:pPr>
              <w:widowControl/>
              <w:ind w:left="472" w:hanging="480" w:hangingChars="2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□信用服务  □市场营销   □项目开发  □投资融资   □财会税务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产权交易  □技术支持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□人才引进  □对外合作   □法律咨询</w:t>
            </w:r>
          </w:p>
          <w:p>
            <w:pPr>
              <w:widowControl/>
              <w:ind w:left="472" w:hanging="480" w:hangingChars="2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□展览展销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服务案例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简介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 服务机构盖章：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 时  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服务对象名称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应用场景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</w:p>
        </w:tc>
      </w:tr>
    </w:tbl>
    <w:p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kern w:val="2"/>
          <w:sz w:val="36"/>
          <w:szCs w:val="36"/>
        </w:rPr>
      </w:pPr>
      <w:r>
        <w:rPr>
          <w:rFonts w:hint="eastAsia" w:ascii="黑体" w:hAnsi="黑体" w:eastAsia="黑体" w:cs="黑体"/>
          <w:bCs/>
          <w:kern w:val="2"/>
          <w:sz w:val="36"/>
          <w:szCs w:val="36"/>
        </w:rPr>
        <w:t>参选机构应用场景和服务案例服务案例</w:t>
      </w:r>
    </w:p>
    <w:p>
      <w:pPr>
        <w:pStyle w:val="4"/>
        <w:widowControl w:val="0"/>
        <w:spacing w:before="0" w:beforeAutospacing="0" w:after="0" w:afterAutospacing="0"/>
        <w:jc w:val="both"/>
        <w:rPr>
          <w:rFonts w:hint="eastAsia" w:ascii="黑体" w:hAnsi="黑体" w:eastAsia="黑体" w:cs="黑体"/>
          <w:bCs/>
          <w:kern w:val="2"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kern w:val="2"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kern w:val="2"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kern w:val="2"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kern w:val="2"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kern w:val="2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794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6650"/>
    <w:rsid w:val="0AA41CB5"/>
    <w:rsid w:val="14D16266"/>
    <w:rsid w:val="25496650"/>
    <w:rsid w:val="41A25DB6"/>
    <w:rsid w:val="50C6207F"/>
    <w:rsid w:val="53D449AE"/>
    <w:rsid w:val="700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2020-09-25T05:33:00Z</dcterms:created>
  <dc:creator>alin</dc:creator>
  <cp:lastModifiedBy>alin</cp:lastModifiedBy>
  <dcterms:modified xsi:type="dcterms:W3CDTF">2020-09-25T06:01:36Z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