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default" w:ascii="Times New Roman" w:hAnsi="Times New Roman" w:eastAsia="仿宋_GB2312" w:cs="Times New Roman"/>
          <w:sz w:val="32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</w:rPr>
      </w:pPr>
      <w:r>
        <w:rPr>
          <w:rFonts w:hint="eastAsia" w:ascii="方正小标宋简体" w:hAnsi="方正小标宋简体" w:eastAsia="方正小标宋简体" w:cs="方正小标宋简体"/>
          <w:sz w:val="32"/>
        </w:rPr>
        <w:t>重点行业企业情况汇总表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799"/>
        <w:gridCol w:w="1336"/>
        <w:gridCol w:w="1279"/>
        <w:gridCol w:w="922"/>
        <w:gridCol w:w="922"/>
        <w:gridCol w:w="924"/>
        <w:gridCol w:w="1200"/>
        <w:gridCol w:w="859"/>
        <w:gridCol w:w="1091"/>
        <w:gridCol w:w="1091"/>
        <w:gridCol w:w="928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序号</w:t>
            </w:r>
          </w:p>
        </w:tc>
        <w:tc>
          <w:tcPr>
            <w:tcW w:w="79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行业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企业名称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所在地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（省市县）</w:t>
            </w: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企业基本情况</w:t>
            </w:r>
          </w:p>
        </w:tc>
        <w:tc>
          <w:tcPr>
            <w:tcW w:w="6521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2020年能源消费量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9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主要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产品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产能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2020年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产量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综合能源消费量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（吨标准煤）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煤炭消费量（吨）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天然气消费量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（万立方米）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电力消费量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（万千瓦时）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其他能源消费量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（吨标准煤）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可再生能源利用量（万千瓦时，包括光伏发电、风电等）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1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2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……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</w:tbl>
    <w:p>
      <w:pPr>
        <w:wordWrap/>
        <w:adjustRightInd/>
        <w:snapToGrid w:val="0"/>
        <w:spacing w:beforeAutospacing="0" w:afterAutospacing="0" w:line="360" w:lineRule="auto"/>
        <w:ind w:left="420" w:leftChars="0" w:right="0" w:hanging="420" w:hangingChars="200"/>
        <w:rPr>
          <w:rFonts w:hint="eastAsia" w:ascii="Times New Roman" w:hAnsi="Times New Roman" w:eastAsia="仿宋_GB2312" w:cs="Times New Roman"/>
          <w:sz w:val="21"/>
          <w:szCs w:val="24"/>
          <w:lang w:eastAsia="zh-CN"/>
        </w:rPr>
      </w:pPr>
      <w:r>
        <w:rPr>
          <w:rFonts w:ascii="Times New Roman" w:hAnsi="Times New Roman" w:eastAsia="仿宋_GB2312" w:cs="Times New Roman"/>
          <w:sz w:val="21"/>
          <w:szCs w:val="24"/>
        </w:rPr>
        <w:t>注：1.</w:t>
      </w:r>
      <w:r>
        <w:rPr>
          <w:rFonts w:hint="eastAsia" w:ascii="Times New Roman" w:hAnsi="Times New Roman" w:eastAsia="仿宋_GB2312" w:cs="Times New Roman"/>
          <w:sz w:val="21"/>
          <w:szCs w:val="24"/>
        </w:rPr>
        <w:t>行业请按照《国民经济行业分类》（GB/T 4754-2017）</w:t>
      </w:r>
      <w:r>
        <w:rPr>
          <w:rFonts w:hint="default" w:ascii="Times New Roman" w:hAnsi="Times New Roman" w:eastAsia="仿宋_GB2312" w:cs="Times New Roman"/>
          <w:sz w:val="21"/>
          <w:szCs w:val="24"/>
        </w:rPr>
        <w:t>中的大</w:t>
      </w:r>
      <w:r>
        <w:rPr>
          <w:rFonts w:hint="eastAsia" w:ascii="Times New Roman" w:hAnsi="Times New Roman" w:eastAsia="仿宋_GB2312" w:cs="Times New Roman"/>
          <w:sz w:val="21"/>
          <w:szCs w:val="24"/>
        </w:rPr>
        <w:t>类</w:t>
      </w:r>
      <w:r>
        <w:rPr>
          <w:rFonts w:hint="default" w:ascii="Times New Roman" w:hAnsi="Times New Roman" w:eastAsia="仿宋_GB2312" w:cs="Times New Roman"/>
          <w:sz w:val="21"/>
          <w:szCs w:val="24"/>
        </w:rPr>
        <w:t>填写，如</w:t>
      </w:r>
      <w:r>
        <w:rPr>
          <w:rFonts w:hint="default" w:ascii="Times New Roman" w:hAnsi="Times New Roman" w:eastAsia="仿宋_GB2312" w:cs="Times New Roman"/>
        </w:rPr>
        <w:t>黑色金属冶炼和压延加工业、有色金属冶炼和压延加工业、</w:t>
      </w:r>
      <w:r>
        <w:rPr>
          <w:rFonts w:hint="default" w:ascii="Times New Roman" w:hAnsi="Times New Roman" w:eastAsia="仿宋_GB2312" w:cs="Times New Roman"/>
          <w:sz w:val="21"/>
          <w:szCs w:val="24"/>
        </w:rPr>
        <w:t>石油煤炭及其他燃料加工业、</w:t>
      </w:r>
      <w:r>
        <w:rPr>
          <w:rFonts w:hint="default" w:ascii="Times New Roman" w:hAnsi="Times New Roman" w:eastAsia="仿宋_GB2312" w:cs="Times New Roman"/>
        </w:rPr>
        <w:t>化学原料和化学制品制造业、非金属矿物制品业</w:t>
      </w:r>
      <w:r>
        <w:rPr>
          <w:rFonts w:hint="eastAsia" w:ascii="Times New Roman" w:hAnsi="Times New Roman" w:eastAsia="仿宋_GB2312" w:cs="Times New Roman"/>
          <w:sz w:val="21"/>
          <w:szCs w:val="24"/>
          <w:lang w:eastAsia="zh-CN"/>
        </w:rPr>
        <w:t>；</w:t>
      </w:r>
    </w:p>
    <w:p>
      <w:pPr>
        <w:numPr>
          <w:ilvl w:val="0"/>
          <w:numId w:val="1"/>
        </w:numPr>
        <w:wordWrap/>
        <w:adjustRightInd/>
        <w:snapToGrid w:val="0"/>
        <w:spacing w:beforeAutospacing="0" w:afterAutospacing="0" w:line="360" w:lineRule="auto"/>
        <w:ind w:left="416" w:leftChars="198" w:right="0" w:firstLine="3" w:firstLineChars="0"/>
        <w:rPr>
          <w:rFonts w:hint="default" w:ascii="Times New Roman" w:hAnsi="Times New Roman" w:eastAsia="仿宋_GB2312" w:cs="Times New Roman"/>
          <w:sz w:val="21"/>
          <w:szCs w:val="24"/>
        </w:rPr>
      </w:pPr>
      <w:r>
        <w:rPr>
          <w:rFonts w:hint="default" w:ascii="Times New Roman" w:hAnsi="Times New Roman" w:eastAsia="仿宋_GB2312" w:cs="Times New Roman"/>
          <w:sz w:val="21"/>
          <w:szCs w:val="24"/>
        </w:rPr>
        <w:t>梳理排查范围为年综合能源消费总量5000吨标准煤以上的企业</w:t>
      </w:r>
      <w:r>
        <w:rPr>
          <w:rFonts w:hint="eastAsia" w:ascii="Times New Roman" w:hAnsi="Times New Roman" w:eastAsia="仿宋_GB2312" w:cs="Times New Roman"/>
          <w:sz w:val="21"/>
          <w:szCs w:val="24"/>
          <w:lang w:eastAsia="zh-CN"/>
        </w:rPr>
        <w:t>；</w:t>
      </w:r>
    </w:p>
    <w:p>
      <w:pPr>
        <w:numPr>
          <w:ilvl w:val="0"/>
          <w:numId w:val="0"/>
        </w:numPr>
        <w:wordWrap/>
        <w:adjustRightInd/>
        <w:snapToGrid w:val="0"/>
        <w:spacing w:beforeAutospacing="0" w:afterAutospacing="0" w:line="360" w:lineRule="auto"/>
        <w:ind w:left="416" w:leftChars="198" w:right="0" w:firstLine="3" w:firstLineChars="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21"/>
          <w:szCs w:val="24"/>
        </w:rPr>
        <w:t>3.可再生能源利用量主要统计工业企业使用分布式可再生能源情况，包括厂房光伏发电、分布式风电等。</w:t>
      </w:r>
    </w:p>
    <w:p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12CCD"/>
    <w:multiLevelType w:val="singleLevel"/>
    <w:tmpl w:val="60612CCD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97F18"/>
    <w:rsid w:val="0476260C"/>
    <w:rsid w:val="4CC97F18"/>
    <w:rsid w:val="4F7C5840"/>
    <w:rsid w:val="6B7C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2021-04-19T07:40:00Z</dcterms:created>
  <dc:creator>忘雨</dc:creator>
  <cp:lastModifiedBy>忘雨</cp:lastModifiedBy>
  <dcterms:modified xsi:type="dcterms:W3CDTF">2021-04-19T07:41:02Z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64F480BACDEA40B39E98738EDBE9C37D</vt:lpwstr>
  </property>
</Properties>
</file>