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ascii="微软雅黑" w:hAnsi="微软雅黑" w:eastAsia="微软雅黑" w:cs="微软雅黑"/>
          <w:b w:val="0"/>
          <w:bCs w:val="0"/>
          <w:i w:val="0"/>
          <w:iCs w:val="0"/>
          <w:caps w:val="0"/>
          <w:color w:val="333333"/>
          <w:spacing w:val="0"/>
          <w:sz w:val="21"/>
          <w:szCs w:val="21"/>
        </w:rPr>
      </w:pPr>
      <w:r>
        <w:rPr>
          <w:rStyle w:val="6"/>
          <w:rFonts w:ascii="宋体" w:hAnsi="宋体" w:eastAsia="宋体" w:cs="宋体"/>
          <w:i w:val="0"/>
          <w:iCs w:val="0"/>
          <w:caps w:val="0"/>
          <w:color w:val="333333"/>
          <w:spacing w:val="0"/>
          <w:kern w:val="0"/>
          <w:sz w:val="21"/>
          <w:szCs w:val="21"/>
          <w:bdr w:val="none" w:color="auto" w:sz="0" w:space="0"/>
          <w:shd w:val="clear" w:fill="FFFFFF"/>
          <w:lang w:val="en-US" w:eastAsia="zh-CN" w:bidi="ar"/>
        </w:rPr>
        <w:t>关于做好2021年降成本重点工作的通知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hint="eastAsia" w:ascii="微软雅黑" w:hAnsi="微软雅黑" w:eastAsia="微软雅黑" w:cs="微软雅黑"/>
          <w:b w:val="0"/>
          <w:bCs w:val="0"/>
          <w:i w:val="0"/>
          <w:iCs w:val="0"/>
          <w:caps w:val="0"/>
          <w:color w:val="333333"/>
          <w:spacing w:val="0"/>
          <w:sz w:val="21"/>
          <w:szCs w:val="21"/>
        </w:rPr>
      </w:pPr>
      <w:r>
        <w:rPr>
          <w:rFonts w:hint="eastAsia" w:ascii="微软雅黑" w:hAnsi="微软雅黑" w:eastAsia="微软雅黑" w:cs="微软雅黑"/>
          <w:b w:val="0"/>
          <w:bCs w:val="0"/>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ascii="宋体" w:hAnsi="宋体" w:eastAsia="宋体" w:cs="宋体"/>
          <w:b w:val="0"/>
          <w:bCs w:val="0"/>
          <w:i w:val="0"/>
          <w:iCs w:val="0"/>
          <w:caps w:val="0"/>
          <w:color w:val="333333"/>
          <w:spacing w:val="0"/>
          <w:sz w:val="21"/>
          <w:szCs w:val="21"/>
        </w:rPr>
      </w:pPr>
      <w:r>
        <w:rPr>
          <w:rFonts w:ascii="宋体" w:hAnsi="宋体" w:eastAsia="宋体" w:cs="宋体"/>
          <w:b w:val="0"/>
          <w:bCs w:val="0"/>
          <w:i w:val="0"/>
          <w:iCs w:val="0"/>
          <w:caps w:val="0"/>
          <w:color w:val="333333"/>
          <w:spacing w:val="0"/>
          <w:kern w:val="0"/>
          <w:sz w:val="21"/>
          <w:szCs w:val="21"/>
          <w:bdr w:val="none" w:color="auto" w:sz="0" w:space="0"/>
          <w:shd w:val="clear" w:fill="FFFFFF"/>
          <w:lang w:val="en-US" w:eastAsia="zh-CN" w:bidi="ar"/>
        </w:rPr>
        <w:t>发改运行〔2021〕602号</w:t>
      </w:r>
    </w:p>
    <w:p>
      <w:pPr>
        <w:rPr>
          <w:rFonts w:ascii="宋体" w:hAnsi="宋体" w:eastAsia="宋体" w:cs="宋体"/>
          <w:b w:val="0"/>
          <w:bCs w:val="0"/>
          <w:i w:val="0"/>
          <w:iCs w:val="0"/>
          <w:caps w:val="0"/>
          <w:color w:val="333333"/>
          <w:spacing w:val="0"/>
          <w:sz w:val="24"/>
          <w:szCs w:val="24"/>
          <w:bdr w:val="none" w:color="auto" w:sz="0" w:space="0"/>
          <w:shd w:val="clear" w:fill="FFFFFF"/>
        </w:rPr>
      </w:pPr>
    </w:p>
    <w:p>
      <w:pPr>
        <w:rPr>
          <w:rFonts w:ascii="宋体" w:hAnsi="宋体" w:eastAsia="宋体" w:cs="宋体"/>
          <w:b w:val="0"/>
          <w:bCs w:val="0"/>
          <w:i w:val="0"/>
          <w:iCs w:val="0"/>
          <w:caps w:val="0"/>
          <w:color w:val="333333"/>
          <w:spacing w:val="0"/>
          <w:sz w:val="24"/>
          <w:szCs w:val="24"/>
          <w:bdr w:val="none" w:color="auto" w:sz="0" w:space="0"/>
          <w:shd w:val="clear" w:fill="FFFFFF"/>
        </w:rPr>
      </w:pPr>
    </w:p>
    <w:p>
      <w:pPr>
        <w:rPr>
          <w:rFonts w:ascii="宋体" w:hAnsi="宋体" w:eastAsia="宋体" w:cs="宋体"/>
          <w:b w:val="0"/>
          <w:bCs w:val="0"/>
          <w:i w:val="0"/>
          <w:iCs w:val="0"/>
          <w:caps w:val="0"/>
          <w:color w:val="333333"/>
          <w:spacing w:val="0"/>
          <w:sz w:val="24"/>
          <w:szCs w:val="24"/>
          <w:bdr w:val="none" w:color="auto" w:sz="0" w:space="0"/>
          <w:shd w:val="clear" w:fill="FFFFFF"/>
        </w:rPr>
      </w:pPr>
      <w:r>
        <w:rPr>
          <w:rFonts w:ascii="宋体" w:hAnsi="宋体" w:eastAsia="宋体" w:cs="宋体"/>
          <w:b w:val="0"/>
          <w:bCs w:val="0"/>
          <w:i w:val="0"/>
          <w:iCs w:val="0"/>
          <w:caps w:val="0"/>
          <w:color w:val="333333"/>
          <w:spacing w:val="0"/>
          <w:sz w:val="24"/>
          <w:szCs w:val="24"/>
          <w:bdr w:val="none" w:color="auto" w:sz="0" w:space="0"/>
          <w:shd w:val="clear" w:fill="FFFFFF"/>
        </w:rPr>
        <w:t>公安部、民政部、司法部、人力资源社会保障部、自然资源部、生态环境部、住房城乡建设部、交通运输部、水利部、农业农村部、商务部、应急部、国资委、海关总署、税务总局、市场监管总局、统计局、银保监会、证监会、能源局、林草局、民航局、外汇局、知识产权局，中国国家铁路集团有限公司，各省、自治区、直辖市及计划单列市、副省级省会城市、新疆生产建设兵团发展改革委、工信厅（经信委、经信厅、经信局、工信局）、财政厅（局），人民银行上海总部、各分行、营业管理部、各省会（首府）城市中心支行、各副省级城市中心支行：</w:t>
      </w:r>
      <w:r>
        <w:rPr>
          <w:rFonts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过去一年，面对突如其来的新冠肺炎疫情，各地区、各有关部门按照党中央、国务院决策部署，深入推进降低实体经济企业成本工作，取得显著成效。2021年，为深入贯彻中央经济工作会议精神，落实好《政府工作报告》提出的各项降成本重点任务，继续为市场主体纾困，降低实体经济企业成本工作部际联席会议将重点组织落实好8个方面19项任务。</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一、总体要求</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以习近平新时代中国特色社会主义思想为指导，全面贯彻党的十九大和十九届二中、三中、四中、五中全会精神，坚持稳中求进工作总基调，立足新发展阶段，贯彻新发展理念，构建新发展格局，以推动高质量发展为主题，以深化供给侧结构性改革为主线，保持宏观政策连续性、稳定性、可持续性，采取有效措施降低实体经济企业成本，优化企业发展环境。坚持统筹兼顾与突出重点相结合，坚持阶段性政策与制度性安排相结合，坚持巩固成果与提质扩面相结合，坚持降低显性成本与降低隐性成本相结合，保持必要的纾困支持力度，推动政策红利直达市场主体，增强发展信心。</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二、持续合理降低税费负担</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（一）进一步优化减税政策。</w:t>
      </w:r>
      <w:r>
        <w:rPr>
          <w:rFonts w:ascii="宋体" w:hAnsi="宋体" w:eastAsia="宋体" w:cs="宋体"/>
          <w:b w:val="0"/>
          <w:bCs w:val="0"/>
          <w:i w:val="0"/>
          <w:iCs w:val="0"/>
          <w:caps w:val="0"/>
          <w:color w:val="333333"/>
          <w:spacing w:val="0"/>
          <w:sz w:val="24"/>
          <w:szCs w:val="24"/>
          <w:bdr w:val="none" w:color="auto" w:sz="0" w:space="0"/>
          <w:shd w:val="clear" w:fill="FFFFFF"/>
        </w:rPr>
        <w:t>继续执行制度性减税政策，延长小规模纳税人增值税优惠等部分阶段性政策执行期限，实施新的结构性减税举措。将小规模纳税人增值税起征点从月销售额10万元提高到15万元。对小微企业和个体工商户年应纳税所得额不到100万元的部分，在现行优惠政策基础上，再减半征收所得税。对先进制造业企业按月全额退还增值税增量留抵税额。继续执行企业研发费用加计扣除75%政策，将制造业企业加计扣除比例提高到100%。</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（二）规范降低重点领域涉企收费。</w:t>
      </w:r>
      <w:r>
        <w:rPr>
          <w:rFonts w:ascii="宋体" w:hAnsi="宋体" w:eastAsia="宋体" w:cs="宋体"/>
          <w:b w:val="0"/>
          <w:bCs w:val="0"/>
          <w:i w:val="0"/>
          <w:iCs w:val="0"/>
          <w:caps w:val="0"/>
          <w:color w:val="333333"/>
          <w:spacing w:val="0"/>
          <w:sz w:val="24"/>
          <w:szCs w:val="24"/>
          <w:bdr w:val="none" w:color="auto" w:sz="0" w:space="0"/>
          <w:shd w:val="clear" w:fill="FFFFFF"/>
        </w:rPr>
        <w:t>继续开展宽带和专线提速惠企工作，中小企业宽带和专线平均资费再降10%，持续降低企业用网用云成本。清理规范城镇供水供电供气供暖行业收费，提高水电气暖等产品和服务供给质量和效率。</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（三）落实落细减税降费红利。</w:t>
      </w:r>
      <w:r>
        <w:rPr>
          <w:rFonts w:ascii="宋体" w:hAnsi="宋体" w:eastAsia="宋体" w:cs="宋体"/>
          <w:b w:val="0"/>
          <w:bCs w:val="0"/>
          <w:i w:val="0"/>
          <w:iCs w:val="0"/>
          <w:caps w:val="0"/>
          <w:color w:val="333333"/>
          <w:spacing w:val="0"/>
          <w:sz w:val="24"/>
          <w:szCs w:val="24"/>
          <w:bdr w:val="none" w:color="auto" w:sz="0" w:space="0"/>
          <w:shd w:val="clear" w:fill="FFFFFF"/>
        </w:rPr>
        <w:t>持续优化纳税服务，精简享受税费政策的办理流程和手续。坚决不收过头税费，坚决防止搞集中清欠税收、乱收费削减政策红利，严控非税收入不合理增长。加强对中介机构、行业协会商会、交通物流等重点领域收费的监督检查，持续加大各类违规涉企收费整治力度，坚决制止各种加重企业负担的违规行为。</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三、深化金融让利有效支持实体经济</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（四）营造适宜的货币金融环境。</w:t>
      </w:r>
      <w:r>
        <w:rPr>
          <w:rFonts w:ascii="宋体" w:hAnsi="宋体" w:eastAsia="宋体" w:cs="宋体"/>
          <w:b w:val="0"/>
          <w:bCs w:val="0"/>
          <w:i w:val="0"/>
          <w:iCs w:val="0"/>
          <w:caps w:val="0"/>
          <w:color w:val="333333"/>
          <w:spacing w:val="0"/>
          <w:sz w:val="24"/>
          <w:szCs w:val="24"/>
          <w:bdr w:val="none" w:color="auto" w:sz="0" w:space="0"/>
          <w:shd w:val="clear" w:fill="FFFFFF"/>
        </w:rPr>
        <w:t>综合运用多种货币政策工具，保持货币供应量和社会融资规模增速与名义经济增速基本匹配，保持流动性合理充裕，保持宏观杠杆率基本稳定。保持人民币汇率在合理均衡水平上的基本稳定。持续释放贷款市场报价利率（LPR）改革潜力，巩固实际贷款利率下降成果，促进企业综合融资成本稳中有降。</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（五）引导金融资源精准滴灌。</w:t>
      </w:r>
      <w:r>
        <w:rPr>
          <w:rFonts w:ascii="宋体" w:hAnsi="宋体" w:eastAsia="宋体" w:cs="宋体"/>
          <w:b w:val="0"/>
          <w:bCs w:val="0"/>
          <w:i w:val="0"/>
          <w:iCs w:val="0"/>
          <w:caps w:val="0"/>
          <w:color w:val="333333"/>
          <w:spacing w:val="0"/>
          <w:sz w:val="24"/>
          <w:szCs w:val="24"/>
          <w:bdr w:val="none" w:color="auto" w:sz="0" w:space="0"/>
          <w:shd w:val="clear" w:fill="FFFFFF"/>
        </w:rPr>
        <w:t>继续运用普惠性再贷款再贴现政策支持国民经济重点领域和薄弱环节。进一步解决中小微企业融资难题，引导银行扩大信用贷款、持续增加首贷户，推广随借随还贷款，使资金更多流向小微企业、个体工商户、新型农业经营主体，对受疫情持续影响行业企业给予定向支持。延续普惠小微企业贷款延期还本付息政策。延长小微企业融资担保降费奖补政策，完善贷款风险分担补偿机制。</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（六）优化企业金融服务。</w:t>
      </w:r>
      <w:r>
        <w:rPr>
          <w:rFonts w:ascii="宋体" w:hAnsi="宋体" w:eastAsia="宋体" w:cs="宋体"/>
          <w:b w:val="0"/>
          <w:bCs w:val="0"/>
          <w:i w:val="0"/>
          <w:iCs w:val="0"/>
          <w:caps w:val="0"/>
          <w:color w:val="333333"/>
          <w:spacing w:val="0"/>
          <w:sz w:val="24"/>
          <w:szCs w:val="24"/>
          <w:bdr w:val="none" w:color="auto" w:sz="0" w:space="0"/>
          <w:shd w:val="clear" w:fill="FFFFFF"/>
        </w:rPr>
        <w:t>更好发挥多层次资本市场作用，拓展市场主体融资渠道。创新供应链金融服务模式，以产业链和供应链为切入点，推广供应链票据和应收账款确权，增强银行与产业链的融合度和协同性。实施动产和权利担保统一登记。推动征信与信用评级机构为企业融资提供高质量的征信和评级服务。适当降低小微企业支付手续费。</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四、着力降低制度性交易成本</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（七）纵深推进“放管服”改革。</w:t>
      </w:r>
      <w:r>
        <w:rPr>
          <w:rFonts w:ascii="宋体" w:hAnsi="宋体" w:eastAsia="宋体" w:cs="宋体"/>
          <w:b w:val="0"/>
          <w:bCs w:val="0"/>
          <w:i w:val="0"/>
          <w:iCs w:val="0"/>
          <w:caps w:val="0"/>
          <w:color w:val="333333"/>
          <w:spacing w:val="0"/>
          <w:sz w:val="24"/>
          <w:szCs w:val="24"/>
          <w:bdr w:val="none" w:color="auto" w:sz="0" w:space="0"/>
          <w:shd w:val="clear" w:fill="FFFFFF"/>
        </w:rPr>
        <w:t>将行政许可事项全部纳入清单管理。深化“证照分离”改革，大力推进涉企审批减环节、减材料、减时限、减费用。完善市场主体退出机制，实行中小微企业简易注销制度。修订出台《市场准入负面清单（2021年版）》，继续放宽准入限制。进一步缩减外资准入负面清单。实施工业产品准入制度改革，推进汽车、电子电器等行业生产准入和流通管理全流程改革。推动电子证照扩大应用领域和全国互通互认。</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（八）维护公平竞争市场环境。</w:t>
      </w:r>
      <w:r>
        <w:rPr>
          <w:rFonts w:ascii="宋体" w:hAnsi="宋体" w:eastAsia="宋体" w:cs="宋体"/>
          <w:b w:val="0"/>
          <w:bCs w:val="0"/>
          <w:i w:val="0"/>
          <w:iCs w:val="0"/>
          <w:caps w:val="0"/>
          <w:color w:val="333333"/>
          <w:spacing w:val="0"/>
          <w:sz w:val="24"/>
          <w:szCs w:val="24"/>
          <w:bdr w:val="none" w:color="auto" w:sz="0" w:space="0"/>
          <w:shd w:val="clear" w:fill="FFFFFF"/>
        </w:rPr>
        <w:t>依法平等保护各类市场主体产权，加强知识产权保护。加强有效监管，以公正监管促进优胜劣汰。建立健全招标投标领域优化营商环境长效机制。推动各类中介机构公开服务条件、流程、时限和收费标准。</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五、合理降低企业人工成本</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（九）延续部分阶段性降低企业用工成本政策。</w:t>
      </w:r>
      <w:r>
        <w:rPr>
          <w:rFonts w:ascii="宋体" w:hAnsi="宋体" w:eastAsia="宋体" w:cs="宋体"/>
          <w:b w:val="0"/>
          <w:bCs w:val="0"/>
          <w:i w:val="0"/>
          <w:iCs w:val="0"/>
          <w:caps w:val="0"/>
          <w:color w:val="333333"/>
          <w:spacing w:val="0"/>
          <w:sz w:val="24"/>
          <w:szCs w:val="24"/>
          <w:bdr w:val="none" w:color="auto" w:sz="0" w:space="0"/>
          <w:shd w:val="clear" w:fill="FFFFFF"/>
        </w:rPr>
        <w:t>延续实施阶段性降低失业保险、工伤保险费率政策，实施期限延长1年至2022年4月30日。扩大失业保险返还等阶段性稳岗政策惠及范围，延长以工代训政策实施期限。</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（十）加强职业技能培训提升劳动者素质。</w:t>
      </w:r>
      <w:r>
        <w:rPr>
          <w:rFonts w:ascii="宋体" w:hAnsi="宋体" w:eastAsia="宋体" w:cs="宋体"/>
          <w:b w:val="0"/>
          <w:bCs w:val="0"/>
          <w:i w:val="0"/>
          <w:iCs w:val="0"/>
          <w:caps w:val="0"/>
          <w:color w:val="333333"/>
          <w:spacing w:val="0"/>
          <w:sz w:val="24"/>
          <w:szCs w:val="24"/>
          <w:bdr w:val="none" w:color="auto" w:sz="0" w:space="0"/>
          <w:shd w:val="clear" w:fill="FFFFFF"/>
        </w:rPr>
        <w:t>持续组织实施职业技能提升行动，拓宽职业技能培训资金使用范围，开展大规模、多层次职业技能培训，建设一批高技能人才培训基地。</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六、降低企业用能用地成本</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（十一）降低企业用电成本。</w:t>
      </w:r>
      <w:r>
        <w:rPr>
          <w:rFonts w:ascii="宋体" w:hAnsi="宋体" w:eastAsia="宋体" w:cs="宋体"/>
          <w:b w:val="0"/>
          <w:bCs w:val="0"/>
          <w:i w:val="0"/>
          <w:iCs w:val="0"/>
          <w:caps w:val="0"/>
          <w:color w:val="333333"/>
          <w:spacing w:val="0"/>
          <w:sz w:val="24"/>
          <w:szCs w:val="24"/>
          <w:bdr w:val="none" w:color="auto" w:sz="0" w:space="0"/>
          <w:shd w:val="clear" w:fill="FFFFFF"/>
        </w:rPr>
        <w:t>平稳执行新核定的2021年输配电价和销售电价，进一步清理用电不合理加价，继续推动降低一般工商业电价。持续推进电力市场化改革，允许所有制造业企业参与电力市场化交易。</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（十二）降低企业用地成本。</w:t>
      </w:r>
      <w:r>
        <w:rPr>
          <w:rFonts w:ascii="宋体" w:hAnsi="宋体" w:eastAsia="宋体" w:cs="宋体"/>
          <w:b w:val="0"/>
          <w:bCs w:val="0"/>
          <w:i w:val="0"/>
          <w:iCs w:val="0"/>
          <w:caps w:val="0"/>
          <w:color w:val="333333"/>
          <w:spacing w:val="0"/>
          <w:sz w:val="24"/>
          <w:szCs w:val="24"/>
          <w:bdr w:val="none" w:color="auto" w:sz="0" w:space="0"/>
          <w:shd w:val="clear" w:fill="FFFFFF"/>
        </w:rPr>
        <w:t>研究出台建设用地审批管理规定，继续推广“标准地”出让改革经验。健全国有建设用地配置政策体系，修改完善市场竞争和交易等规则。组织实施好跨省域补充耕地国家统筹。</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（十三）降低房屋租金成本。</w:t>
      </w:r>
      <w:r>
        <w:rPr>
          <w:rFonts w:ascii="宋体" w:hAnsi="宋体" w:eastAsia="宋体" w:cs="宋体"/>
          <w:b w:val="0"/>
          <w:bCs w:val="0"/>
          <w:i w:val="0"/>
          <w:iCs w:val="0"/>
          <w:caps w:val="0"/>
          <w:color w:val="333333"/>
          <w:spacing w:val="0"/>
          <w:sz w:val="24"/>
          <w:szCs w:val="24"/>
          <w:bdr w:val="none" w:color="auto" w:sz="0" w:space="0"/>
          <w:shd w:val="clear" w:fill="FFFFFF"/>
        </w:rPr>
        <w:t>鼓励受疫情影响较大的地方，对承租国有房屋的服务业小微企业和个体工商户减免租金。</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七、推进物流降本增效</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（十四）取消或降低部分公路民航港口收费。</w:t>
      </w:r>
      <w:r>
        <w:rPr>
          <w:rFonts w:ascii="宋体" w:hAnsi="宋体" w:eastAsia="宋体" w:cs="宋体"/>
          <w:b w:val="0"/>
          <w:bCs w:val="0"/>
          <w:i w:val="0"/>
          <w:iCs w:val="0"/>
          <w:caps w:val="0"/>
          <w:color w:val="333333"/>
          <w:spacing w:val="0"/>
          <w:sz w:val="24"/>
          <w:szCs w:val="24"/>
          <w:bdr w:val="none" w:color="auto" w:sz="0" w:space="0"/>
          <w:shd w:val="clear" w:fill="FFFFFF"/>
        </w:rPr>
        <w:t>全面推广高速公路差异化收费。取消港口建设费，将民航发展基金航空公司征收标准降低20%。延续机场收费、空管收费和航空煤油进销差价优惠政策暂定至2021年6月30日。</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（十五）持续降低铁路货运成本。</w:t>
      </w:r>
      <w:r>
        <w:rPr>
          <w:rFonts w:ascii="宋体" w:hAnsi="宋体" w:eastAsia="宋体" w:cs="宋体"/>
          <w:b w:val="0"/>
          <w:bCs w:val="0"/>
          <w:i w:val="0"/>
          <w:iCs w:val="0"/>
          <w:caps w:val="0"/>
          <w:color w:val="333333"/>
          <w:spacing w:val="0"/>
          <w:sz w:val="24"/>
          <w:szCs w:val="24"/>
          <w:bdr w:val="none" w:color="auto" w:sz="0" w:space="0"/>
          <w:shd w:val="clear" w:fill="FFFFFF"/>
        </w:rPr>
        <w:t>严格落实铁路各项降成本政策措施，持续规范铁路货运相关收费，促进全程物流成本降低。推进铁路行业竞争性环节市场化改革，放开竞争性业务准入，进一步引入市场竞争机制。</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（十六）完善交通物流基础设施。</w:t>
      </w:r>
      <w:r>
        <w:rPr>
          <w:rFonts w:ascii="宋体" w:hAnsi="宋体" w:eastAsia="宋体" w:cs="宋体"/>
          <w:b w:val="0"/>
          <w:bCs w:val="0"/>
          <w:i w:val="0"/>
          <w:iCs w:val="0"/>
          <w:caps w:val="0"/>
          <w:color w:val="333333"/>
          <w:spacing w:val="0"/>
          <w:sz w:val="24"/>
          <w:szCs w:val="24"/>
          <w:bdr w:val="none" w:color="auto" w:sz="0" w:space="0"/>
          <w:shd w:val="clear" w:fill="FFFFFF"/>
        </w:rPr>
        <w:t>完善国家综合立体交通网，缓解综合运输大通道“堵点”，提高通道运行效率。推进国家物流枢纽、国家骨干冷链物流基地、综合货运枢纽（物流园区）建设，完善港站枢纽集疏运体系。</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（十七）优化运输结构。</w:t>
      </w:r>
      <w:r>
        <w:rPr>
          <w:rFonts w:ascii="宋体" w:hAnsi="宋体" w:eastAsia="宋体" w:cs="宋体"/>
          <w:b w:val="0"/>
          <w:bCs w:val="0"/>
          <w:i w:val="0"/>
          <w:iCs w:val="0"/>
          <w:caps w:val="0"/>
          <w:color w:val="333333"/>
          <w:spacing w:val="0"/>
          <w:sz w:val="24"/>
          <w:szCs w:val="24"/>
          <w:bdr w:val="none" w:color="auto" w:sz="0" w:space="0"/>
          <w:shd w:val="clear" w:fill="FFFFFF"/>
        </w:rPr>
        <w:t>大力推进多式联运，引导推进多式联运示范工程重点线路联网成片、提质增效，形成网络效应。推动集装箱铁水联运量同比增长10%以上。</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 八、提高企业资金周转效率</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（十八）依法保障中小企业款项及时支付。</w:t>
      </w:r>
      <w:r>
        <w:rPr>
          <w:rFonts w:ascii="宋体" w:hAnsi="宋体" w:eastAsia="宋体" w:cs="宋体"/>
          <w:b w:val="0"/>
          <w:bCs w:val="0"/>
          <w:i w:val="0"/>
          <w:iCs w:val="0"/>
          <w:caps w:val="0"/>
          <w:color w:val="333333"/>
          <w:spacing w:val="0"/>
          <w:sz w:val="24"/>
          <w:szCs w:val="24"/>
          <w:bdr w:val="none" w:color="auto" w:sz="0" w:space="0"/>
          <w:shd w:val="clear" w:fill="FFFFFF"/>
        </w:rPr>
        <w:t>严格落实《保障中小企业款项支付条例》，健全防范和化解拖欠中小企业账款长效机制。发挥好违约拖欠中小企业款项登记（投诉）平台作用，加快研究出台保障中小企业款项支付投诉处理办法。</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九、激励企业内部挖潜</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w:t>
      </w:r>
      <w:r>
        <w:rPr>
          <w:rStyle w:val="6"/>
          <w:rFonts w:ascii="宋体" w:hAnsi="宋体" w:eastAsia="宋体" w:cs="宋体"/>
          <w:i w:val="0"/>
          <w:iCs w:val="0"/>
          <w:caps w:val="0"/>
          <w:color w:val="333333"/>
          <w:spacing w:val="0"/>
          <w:sz w:val="21"/>
          <w:szCs w:val="21"/>
          <w:bdr w:val="none" w:color="auto" w:sz="0" w:space="0"/>
          <w:shd w:val="clear" w:fill="FFFFFF"/>
        </w:rPr>
        <w:t>（十九）支持企业挖潜增效。</w:t>
      </w:r>
      <w:r>
        <w:rPr>
          <w:rFonts w:ascii="宋体" w:hAnsi="宋体" w:eastAsia="宋体" w:cs="宋体"/>
          <w:b w:val="0"/>
          <w:bCs w:val="0"/>
          <w:i w:val="0"/>
          <w:iCs w:val="0"/>
          <w:caps w:val="0"/>
          <w:color w:val="333333"/>
          <w:spacing w:val="0"/>
          <w:sz w:val="24"/>
          <w:szCs w:val="24"/>
          <w:bdr w:val="none" w:color="auto" w:sz="0" w:space="0"/>
          <w:shd w:val="clear" w:fill="FFFFFF"/>
        </w:rPr>
        <w:t>鼓励企业“上云用数赋智”，以数字技术赋能降本增效。推进智能制造示范工厂建设，支持企业开展智能化改造，持续推动工艺装备升级和生产过程智能化提升。引导企业对标国际先进，加强成本管控，提升管理水平。</w:t>
      </w:r>
      <w:r>
        <w:rPr>
          <w:rFonts w:hint="eastAsia" w:ascii="微软雅黑" w:hAnsi="微软雅黑" w:eastAsia="微软雅黑" w:cs="微软雅黑"/>
          <w:b w:val="0"/>
          <w:bCs w:val="0"/>
          <w:i w:val="0"/>
          <w:iCs w:val="0"/>
          <w:caps w:val="0"/>
          <w:color w:val="333333"/>
          <w:spacing w:val="0"/>
          <w:sz w:val="21"/>
          <w:szCs w:val="21"/>
          <w:bdr w:val="none" w:color="auto" w:sz="0" w:space="0"/>
          <w:shd w:val="clear" w:fill="FFFFFF"/>
        </w:rPr>
        <w:br w:type="textWrapping"/>
      </w:r>
      <w:r>
        <w:rPr>
          <w:rFonts w:ascii="宋体" w:hAnsi="宋体" w:eastAsia="宋体" w:cs="宋体"/>
          <w:b w:val="0"/>
          <w:bCs w:val="0"/>
          <w:i w:val="0"/>
          <w:iCs w:val="0"/>
          <w:caps w:val="0"/>
          <w:color w:val="333333"/>
          <w:spacing w:val="0"/>
          <w:sz w:val="24"/>
          <w:szCs w:val="24"/>
          <w:bdr w:val="none" w:color="auto" w:sz="0" w:space="0"/>
          <w:shd w:val="clear" w:fill="FFFFFF"/>
        </w:rPr>
        <w:t>  各有关方面要不断完善降成本工作推进机制，加强协调会商，强化宣传解读，抓实抓细降成本各项政策举措，畅通政策落地“最后一公里”，同时持续跟踪落实成效，及时研究解决突出问题。降低实体经济企业成本工作部际联席会议将继续加强对好经验、好做法的梳理，并做好宣传和推广。</w:t>
      </w:r>
    </w:p>
    <w:p>
      <w:pPr>
        <w:rPr>
          <w:rFonts w:ascii="宋体" w:hAnsi="宋体" w:eastAsia="宋体" w:cs="宋体"/>
          <w:b w:val="0"/>
          <w:bCs w:val="0"/>
          <w:i w:val="0"/>
          <w:iCs w:val="0"/>
          <w:caps w:val="0"/>
          <w:color w:val="333333"/>
          <w:spacing w:val="0"/>
          <w:sz w:val="24"/>
          <w:szCs w:val="24"/>
          <w:bdr w:val="none" w:color="auto" w:sz="0" w:space="0"/>
          <w:shd w:val="clear" w:fill="FFFFFF"/>
        </w:rPr>
      </w:pPr>
    </w:p>
    <w:p>
      <w:pPr>
        <w:rPr>
          <w:rFonts w:ascii="宋体" w:hAnsi="宋体" w:eastAsia="宋体" w:cs="宋体"/>
          <w:b w:val="0"/>
          <w:bCs w:val="0"/>
          <w:i w:val="0"/>
          <w:iCs w:val="0"/>
          <w:caps w:val="0"/>
          <w:color w:val="333333"/>
          <w:spacing w:val="0"/>
          <w:sz w:val="24"/>
          <w:szCs w:val="24"/>
          <w:bdr w:val="none" w:color="auto" w:sz="0" w:space="0"/>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ascii="微软雅黑" w:hAnsi="微软雅黑" w:eastAsia="微软雅黑" w:cs="微软雅黑"/>
          <w:b w:val="0"/>
          <w:bCs w:val="0"/>
          <w:i w:val="0"/>
          <w:iCs w:val="0"/>
          <w:caps w:val="0"/>
          <w:color w:val="333333"/>
          <w:spacing w:val="0"/>
          <w:sz w:val="21"/>
          <w:szCs w:val="21"/>
        </w:rPr>
      </w:pPr>
      <w:r>
        <w:rPr>
          <w:rFonts w:hint="eastAsia" w:ascii="宋体" w:hAnsi="宋体" w:cs="宋体"/>
          <w:b w:val="0"/>
          <w:bCs w:val="0"/>
          <w:i w:val="0"/>
          <w:iCs w:val="0"/>
          <w:caps w:val="0"/>
          <w:color w:val="333333"/>
          <w:spacing w:val="0"/>
          <w:sz w:val="24"/>
          <w:szCs w:val="24"/>
          <w:bdr w:val="none" w:color="auto" w:sz="0" w:space="0"/>
          <w:shd w:val="clear" w:fill="FFFFFF"/>
          <w:lang w:val="en-US" w:eastAsia="zh-CN"/>
        </w:rPr>
        <w:t xml:space="preserve">                                       </w:t>
      </w:r>
      <w:r>
        <w:rPr>
          <w:rFonts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ascii="宋体" w:hAnsi="宋体" w:eastAsia="宋体" w:cs="宋体"/>
          <w:b w:val="0"/>
          <w:bCs w:val="0"/>
          <w:i w:val="0"/>
          <w:iCs w:val="0"/>
          <w:caps w:val="0"/>
          <w:color w:val="333333"/>
          <w:spacing w:val="0"/>
          <w:sz w:val="21"/>
          <w:szCs w:val="21"/>
        </w:rPr>
      </w:pPr>
      <w:r>
        <w:rPr>
          <w:rFonts w:hint="eastAsia" w:ascii="宋体" w:hAnsi="宋体" w:cs="宋体"/>
          <w:b w:val="0"/>
          <w:bCs w:val="0"/>
          <w:i w:val="0"/>
          <w:iCs w:val="0"/>
          <w:caps w:val="0"/>
          <w:color w:val="333333"/>
          <w:spacing w:val="0"/>
          <w:kern w:val="0"/>
          <w:sz w:val="21"/>
          <w:szCs w:val="21"/>
          <w:bdr w:val="none" w:color="auto" w:sz="0" w:space="0"/>
          <w:shd w:val="clear" w:fill="FFFFFF"/>
          <w:lang w:val="en-US" w:eastAsia="zh-CN" w:bidi="ar"/>
        </w:rPr>
        <w:t xml:space="preserve">                                           </w:t>
      </w:r>
      <w:r>
        <w:rPr>
          <w:rFonts w:ascii="宋体" w:hAnsi="宋体" w:eastAsia="宋体" w:cs="宋体"/>
          <w:b w:val="0"/>
          <w:bCs w:val="0"/>
          <w:i w:val="0"/>
          <w:iCs w:val="0"/>
          <w:caps w:val="0"/>
          <w:color w:val="333333"/>
          <w:spacing w:val="0"/>
          <w:kern w:val="0"/>
          <w:sz w:val="21"/>
          <w:szCs w:val="21"/>
          <w:bdr w:val="none" w:color="auto" w:sz="0" w:space="0"/>
          <w:shd w:val="clear" w:fill="FFFFFF"/>
          <w:lang w:val="en-US" w:eastAsia="zh-CN" w:bidi="ar"/>
        </w:rPr>
        <w:t>工业和信息化部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ascii="宋体" w:hAnsi="宋体" w:eastAsia="宋体" w:cs="宋体"/>
          <w:b w:val="0"/>
          <w:bCs w:val="0"/>
          <w:i w:val="0"/>
          <w:iCs w:val="0"/>
          <w:caps w:val="0"/>
          <w:color w:val="333333"/>
          <w:spacing w:val="0"/>
          <w:sz w:val="21"/>
          <w:szCs w:val="21"/>
        </w:rPr>
      </w:pPr>
      <w:r>
        <w:rPr>
          <w:rFonts w:hint="eastAsia" w:ascii="宋体" w:hAnsi="宋体" w:cs="宋体"/>
          <w:b w:val="0"/>
          <w:bCs w:val="0"/>
          <w:i w:val="0"/>
          <w:iCs w:val="0"/>
          <w:caps w:val="0"/>
          <w:color w:val="333333"/>
          <w:spacing w:val="0"/>
          <w:kern w:val="0"/>
          <w:sz w:val="21"/>
          <w:szCs w:val="21"/>
          <w:bdr w:val="none" w:color="auto" w:sz="0" w:space="0"/>
          <w:shd w:val="clear" w:fill="FFFFFF"/>
          <w:lang w:val="en-US" w:eastAsia="zh-CN" w:bidi="ar"/>
        </w:rPr>
        <w:t xml:space="preserve">                                           </w:t>
      </w:r>
      <w:r>
        <w:rPr>
          <w:rFonts w:ascii="宋体" w:hAnsi="宋体" w:eastAsia="宋体" w:cs="宋体"/>
          <w:b w:val="0"/>
          <w:bCs w:val="0"/>
          <w:i w:val="0"/>
          <w:iCs w:val="0"/>
          <w:caps w:val="0"/>
          <w:color w:val="333333"/>
          <w:spacing w:val="0"/>
          <w:kern w:val="0"/>
          <w:sz w:val="21"/>
          <w:szCs w:val="21"/>
          <w:bdr w:val="none" w:color="auto" w:sz="0" w:space="0"/>
          <w:shd w:val="clear" w:fill="FFFFFF"/>
          <w:lang w:val="en-US" w:eastAsia="zh-CN" w:bidi="ar"/>
        </w:rPr>
        <w:t>财  政  部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ascii="宋体" w:hAnsi="宋体" w:eastAsia="宋体" w:cs="宋体"/>
          <w:b w:val="0"/>
          <w:bCs w:val="0"/>
          <w:i w:val="0"/>
          <w:iCs w:val="0"/>
          <w:caps w:val="0"/>
          <w:color w:val="333333"/>
          <w:spacing w:val="0"/>
          <w:sz w:val="21"/>
          <w:szCs w:val="21"/>
        </w:rPr>
      </w:pPr>
      <w:r>
        <w:rPr>
          <w:rFonts w:hint="eastAsia" w:ascii="宋体" w:hAnsi="宋体" w:cs="宋体"/>
          <w:b w:val="0"/>
          <w:bCs w:val="0"/>
          <w:i w:val="0"/>
          <w:iCs w:val="0"/>
          <w:caps w:val="0"/>
          <w:color w:val="333333"/>
          <w:spacing w:val="0"/>
          <w:kern w:val="0"/>
          <w:sz w:val="21"/>
          <w:szCs w:val="21"/>
          <w:bdr w:val="none" w:color="auto" w:sz="0" w:space="0"/>
          <w:shd w:val="clear" w:fill="FFFFFF"/>
          <w:lang w:val="en-US" w:eastAsia="zh-CN" w:bidi="ar"/>
        </w:rPr>
        <w:t xml:space="preserve">                                           </w:t>
      </w:r>
      <w:r>
        <w:rPr>
          <w:rFonts w:ascii="宋体" w:hAnsi="宋体" w:eastAsia="宋体" w:cs="宋体"/>
          <w:b w:val="0"/>
          <w:bCs w:val="0"/>
          <w:i w:val="0"/>
          <w:iCs w:val="0"/>
          <w:caps w:val="0"/>
          <w:color w:val="333333"/>
          <w:spacing w:val="0"/>
          <w:kern w:val="0"/>
          <w:sz w:val="21"/>
          <w:szCs w:val="21"/>
          <w:bdr w:val="none" w:color="auto" w:sz="0" w:space="0"/>
          <w:shd w:val="clear" w:fill="FFFFFF"/>
          <w:lang w:val="en-US" w:eastAsia="zh-CN" w:bidi="ar"/>
        </w:rPr>
        <w:t>人 民 银 行</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ascii="宋体" w:hAnsi="宋体" w:eastAsia="宋体" w:cs="宋体"/>
          <w:b w:val="0"/>
          <w:bCs w:val="0"/>
          <w:i w:val="0"/>
          <w:iCs w:val="0"/>
          <w:caps w:val="0"/>
          <w:color w:val="333333"/>
          <w:spacing w:val="0"/>
          <w:sz w:val="21"/>
          <w:szCs w:val="21"/>
        </w:rPr>
      </w:pPr>
      <w:r>
        <w:rPr>
          <w:rFonts w:hint="eastAsia" w:ascii="宋体" w:hAnsi="宋体" w:cs="宋体"/>
          <w:b w:val="0"/>
          <w:bCs w:val="0"/>
          <w:i w:val="0"/>
          <w:iCs w:val="0"/>
          <w:caps w:val="0"/>
          <w:color w:val="333333"/>
          <w:spacing w:val="0"/>
          <w:kern w:val="0"/>
          <w:sz w:val="21"/>
          <w:szCs w:val="21"/>
          <w:bdr w:val="none" w:color="auto" w:sz="0" w:space="0"/>
          <w:shd w:val="clear" w:fill="FFFFFF"/>
          <w:lang w:val="en-US" w:eastAsia="zh-CN" w:bidi="ar"/>
        </w:rPr>
        <w:t xml:space="preserve">                                            </w:t>
      </w:r>
      <w:r>
        <w:rPr>
          <w:rFonts w:ascii="宋体" w:hAnsi="宋体" w:eastAsia="宋体" w:cs="宋体"/>
          <w:b w:val="0"/>
          <w:bCs w:val="0"/>
          <w:i w:val="0"/>
          <w:iCs w:val="0"/>
          <w:caps w:val="0"/>
          <w:color w:val="333333"/>
          <w:spacing w:val="0"/>
          <w:kern w:val="0"/>
          <w:sz w:val="21"/>
          <w:szCs w:val="21"/>
          <w:bdr w:val="none" w:color="auto" w:sz="0" w:space="0"/>
          <w:shd w:val="clear" w:fill="FFFFFF"/>
          <w:lang w:val="en-US" w:eastAsia="zh-CN" w:bidi="ar"/>
        </w:rPr>
        <w:t>2021年4月29日</w:t>
      </w:r>
    </w:p>
    <w:p>
      <w:pPr>
        <w:rPr>
          <w:rFonts w:hint="default" w:ascii="宋体" w:hAnsi="宋体" w:eastAsia="宋体" w:cs="宋体"/>
          <w:b w:val="0"/>
          <w:bCs w:val="0"/>
          <w:i w:val="0"/>
          <w:iCs w:val="0"/>
          <w:caps w:val="0"/>
          <w:color w:val="333333"/>
          <w:spacing w:val="0"/>
          <w:sz w:val="24"/>
          <w:szCs w:val="24"/>
          <w:bdr w:val="none" w:color="auto" w:sz="0" w:space="0"/>
          <w:shd w:val="clear" w:fill="FFFFFF"/>
          <w:lang w:val="en-US" w:eastAsia="zh-CN"/>
        </w:rPr>
      </w:pPr>
      <w:r>
        <w:rPr>
          <w:rFonts w:hint="eastAsia" w:ascii="宋体" w:hAnsi="宋体" w:cs="宋体"/>
          <w:b w:val="0"/>
          <w:bCs w:val="0"/>
          <w:i w:val="0"/>
          <w:iCs w:val="0"/>
          <w:caps w:val="0"/>
          <w:color w:val="333333"/>
          <w:spacing w:val="0"/>
          <w:sz w:val="24"/>
          <w:szCs w:val="24"/>
          <w:bdr w:val="none" w:color="auto" w:sz="0" w:space="0"/>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028ED"/>
    <w:rsid w:val="42302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2021-05-11T01:49:00Z</dcterms:created>
  <dc:creator>Administrator</dc:creator>
  <cp:lastModifiedBy>Administrator</cp:lastModifiedBy>
  <cp:lastPrinted>2021-05-11T02:01:14Z</cp:lastPrinted>
  <dcterms:modified xsi:type="dcterms:W3CDTF">2021-05-11T02:11:58Z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915E2EA7360948109DD5913BDBEE4F4B</vt:lpwstr>
  </property>
</Properties>
</file>