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2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</w:t>
      </w:r>
    </w:p>
    <w:p>
      <w:pPr>
        <w:spacing w:beforeLines="0" w:after="156" w:afterLines="50" w:line="52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窗口平台重大事项报告备案表</w:t>
      </w:r>
    </w:p>
    <w:p>
      <w:pPr>
        <w:spacing w:beforeLines="0" w:after="156" w:afterLines="50"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窗口平台：  （盖章）                    填表日期：</w:t>
      </w:r>
    </w:p>
    <w:tbl>
      <w:tblPr>
        <w:tblStyle w:val="2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054"/>
        <w:gridCol w:w="220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重大事项类别</w:t>
            </w:r>
          </w:p>
        </w:tc>
        <w:tc>
          <w:tcPr>
            <w:tcW w:w="6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重大事项发生时间</w:t>
            </w:r>
          </w:p>
        </w:tc>
        <w:tc>
          <w:tcPr>
            <w:tcW w:w="6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重大事项详情</w:t>
            </w:r>
          </w:p>
        </w:tc>
        <w:tc>
          <w:tcPr>
            <w:tcW w:w="6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联系人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联系电话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</w:tbl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2021-08-05T03:36:53Z</dcterms:created>
  <dc:creator>0002</dc:creator>
  <cp:lastModifiedBy>芳菲</cp:lastModifiedBy>
  <dcterms:modified xsi:type="dcterms:W3CDTF">2021-08-05T03:37:12Z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