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rPr>
      </w:pPr>
      <w:r>
        <w:rPr>
          <w:rFonts w:hint="eastAsia" w:ascii="黑体" w:hAnsi="黑体" w:eastAsia="黑体" w:cs="黑体"/>
        </w:rPr>
        <w:t>附件：</w:t>
      </w:r>
    </w:p>
    <w:p>
      <w:pPr>
        <w:spacing w:line="560" w:lineRule="exact"/>
        <w:jc w:val="center"/>
        <w:rPr>
          <w:rFonts w:ascii="方正小标宋简体" w:hAnsi="方正小标宋简体" w:eastAsia="方正小标宋简体" w:cs="方正小标宋简体"/>
          <w:sz w:val="44"/>
          <w:szCs w:val="52"/>
        </w:rPr>
      </w:pPr>
      <w:bookmarkStart w:id="10" w:name="_GoBack"/>
      <w:r>
        <w:rPr>
          <w:rFonts w:hint="eastAsia" w:ascii="方正小标宋简体" w:hAnsi="方正小标宋简体" w:eastAsia="方正小标宋简体" w:cs="方正小标宋简体"/>
          <w:sz w:val="44"/>
          <w:szCs w:val="52"/>
        </w:rPr>
        <w:t>第五届“中国创翼”创业创新大赛</w:t>
      </w:r>
    </w:p>
    <w:p>
      <w:pPr>
        <w:spacing w:line="560" w:lineRule="exact"/>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宁远县选拔赛实施方案</w:t>
      </w:r>
    </w:p>
    <w:bookmarkEnd w:id="10"/>
    <w:p>
      <w:pPr>
        <w:spacing w:line="560" w:lineRule="exact"/>
        <w:ind w:firstLine="632" w:firstLineChars="200"/>
        <w:rPr>
          <w:rFonts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黑体" w:hAnsi="黑体" w:eastAsia="黑体" w:cs="黑体"/>
        </w:rPr>
      </w:pP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以贯彻党的十九大和十九届历次全会精神，落实国家创新驱动发展战略、就业优先战略及人才强国战略，以创新引领创业、创业带动就业、推进乡村振兴为核心价值和重点评价指标，大力营造全社会鼓励支持创新创业的浓厚氛围和良好环境，推进“大众创业、万众创新”向高质量纵深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　二、大赛主题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rPr>
      </w:pPr>
      <w:r>
        <w:rPr>
          <w:rFonts w:hint="eastAsia" w:ascii="仿宋_GB2312" w:hAnsi="仿宋_GB2312" w:eastAsia="仿宋_GB2312" w:cs="仿宋_GB2312"/>
        </w:rPr>
        <w:t xml:space="preserve">    创响新时代  共圆中国梦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　三、组织机构</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（一）主办及承办单位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rPr>
      </w:pPr>
      <w:r>
        <w:rPr>
          <w:rFonts w:hint="eastAsia" w:ascii="仿宋_GB2312" w:hAnsi="仿宋_GB2312" w:eastAsia="仿宋_GB2312" w:cs="仿宋_GB2312"/>
        </w:rPr>
        <w:t>　　主办单位：宁远县人力资源和社会保障局、</w:t>
      </w:r>
      <w:r>
        <w:rPr>
          <w:rFonts w:hint="eastAsia" w:ascii="仿宋_GB2312" w:hAnsi="仿宋_GB2312" w:eastAsia="仿宋_GB2312" w:cs="仿宋_GB2312"/>
          <w:lang w:eastAsia="zh-CN"/>
        </w:rPr>
        <w:t>宁远县高新技术产业开发区管理委员会、</w:t>
      </w:r>
      <w:r>
        <w:rPr>
          <w:rFonts w:hint="eastAsia" w:ascii="仿宋_GB2312" w:hAnsi="仿宋_GB2312" w:eastAsia="仿宋_GB2312" w:cs="仿宋_GB2312"/>
          <w:highlight w:val="none"/>
        </w:rPr>
        <w:t>宁远</w:t>
      </w:r>
      <w:r>
        <w:rPr>
          <w:rFonts w:hint="eastAsia" w:ascii="仿宋_GB2312" w:hAnsi="仿宋_GB2312" w:eastAsia="仿宋_GB2312" w:cs="仿宋_GB2312"/>
          <w:highlight w:val="none"/>
          <w:lang w:eastAsia="zh-CN"/>
        </w:rPr>
        <w:t>县科技和工业信息化局</w:t>
      </w:r>
      <w:r>
        <w:rPr>
          <w:rFonts w:hint="eastAsia" w:ascii="仿宋_GB2312" w:hAnsi="仿宋_GB2312" w:eastAsia="仿宋_GB2312" w:cs="仿宋_GB2312"/>
        </w:rPr>
        <w:t>、宁远县总工会、宁远县乡村振兴局、共青团宁远县委员会、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承办单位：宁远县就业服务中心</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eastAsia="仿宋_GB2312"/>
        </w:rPr>
      </w:pPr>
      <w:r>
        <w:rPr>
          <w:rFonts w:hint="eastAsia" w:ascii="仿宋_GB2312" w:hAnsi="仿宋_GB2312" w:eastAsia="仿宋_GB2312" w:cs="仿宋_GB2312"/>
        </w:rPr>
        <w:t xml:space="preserve">    协办单位：</w:t>
      </w:r>
      <w:r>
        <w:rPr>
          <w:rFonts w:hint="eastAsia" w:ascii="仿宋_GB2312" w:hAnsi="仿宋_GB2312" w:cs="仿宋_GB2312"/>
        </w:rPr>
        <w:t>宁远县创业孵化基地国家级众创空间</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（二）大赛组委会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成立大赛组委会（名单见附1），负责大赛的组织领导。组委会下设办公室，具体负责大赛的方案设计、统筹协调、组织实施、宣传发动、报名审核、赛事保障等工作。办公室设在宁远县就业服务中心。</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（三）评审委员会</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_GB2312" w:hAnsi="仿宋_GB2312" w:eastAsia="仿宋_GB2312" w:cs="仿宋_GB2312"/>
        </w:rPr>
      </w:pPr>
      <w:r>
        <w:rPr>
          <w:rFonts w:hint="eastAsia" w:ascii="仿宋_GB2312" w:hAnsi="仿宋_GB2312" w:eastAsia="仿宋_GB2312" w:cs="仿宋_GB2312"/>
        </w:rPr>
        <w:t>为确保大赛评选工作公开、公平、公正进行，大赛组委会将邀请省、市、县就业创业研究和指导专家、成功创业企业家及创投行业领军人士组成大赛评审委员会。评审委员会对大赛组委会负责，并独立开展评审工作。</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黑体" w:hAnsi="黑体" w:eastAsia="黑体" w:cs="黑体"/>
        </w:rPr>
      </w:pPr>
      <w:r>
        <w:rPr>
          <w:rFonts w:hint="eastAsia" w:ascii="黑体" w:hAnsi="黑体" w:eastAsia="黑体" w:cs="黑体"/>
        </w:rPr>
        <w:t>四、赛制安排</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大赛按照“1+3”模式，即1个主体赛加3个专项赛。其中，主体赛分为制造业和服务业2个项目组；3个专项赛分别为青年创意专项赛、劳务品牌专项赛和乡村振兴专项赛。大赛按照初赛和决赛两个阶段实施。赛后推荐5个比赛项目各1个优秀项目参加市级选拔赛。</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（一）主体赛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制造业项目组：既包括采矿冶炼、纺织服装、机械制造、产品代工、小商品制造等传统产业的改进创新和升级迭代，也包括信息技术、生物技术、新能源、新材料、高端装备、新能源汽车、绿色环保、航空航天、海洋装备、互联网TMT等新兴产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服务业项目组：既包括</w:t>
      </w:r>
      <w:r>
        <w:rPr>
          <w:rFonts w:hint="eastAsia" w:ascii="仿宋_GB2312" w:hAnsi="仿宋_GB2312" w:eastAsia="仿宋_GB2312" w:cs="仿宋_GB2312"/>
          <w:shd w:val="clear" w:color="auto" w:fill="FFFFFF"/>
        </w:rPr>
        <w:t>商贸、餐饮、住宿、</w:t>
      </w:r>
      <w:r>
        <w:rPr>
          <w:rFonts w:hint="eastAsia" w:ascii="仿宋_GB2312" w:hAnsi="仿宋_GB2312" w:eastAsia="仿宋_GB2312" w:cs="仿宋_GB2312"/>
        </w:rPr>
        <w:t>家政、物业</w:t>
      </w:r>
      <w:r>
        <w:rPr>
          <w:rFonts w:hint="eastAsia" w:ascii="仿宋_GB2312" w:hAnsi="仿宋_GB2312" w:eastAsia="仿宋_GB2312" w:cs="仿宋_GB2312"/>
          <w:shd w:val="clear" w:color="auto" w:fill="FFFFFF"/>
        </w:rPr>
        <w:t>等传统服务业项目，也</w:t>
      </w:r>
      <w:r>
        <w:rPr>
          <w:rFonts w:hint="eastAsia" w:ascii="仿宋_GB2312" w:hAnsi="仿宋_GB2312" w:eastAsia="仿宋_GB2312" w:cs="仿宋_GB2312"/>
        </w:rPr>
        <w:t>包括服务研发设计、电商物流、法律服务、教育培训、人力资源、健康医养、文体旅游等现代服务业。</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（二）青年创意专项赛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面向16至35周岁的高校及技工院校在校生、毕业生等青年群体，项目类型不限，须有技术、产品、模式等方面的创新成果，有完整的创业计划书。</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（三）劳务品牌专项赛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面向各类依托、运用劳务品牌培育、开发和创业的项目。</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（四）乡村振兴专项赛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面向各类乡村创业项目，如农业科技、特色种养殖、农产品加工、农村电商物流、乡村旅游、传统手工艺、文化传承与创新、乡土人才培育开发等。项目在本县域内注册、生产与经营。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黑体" w:hAnsi="黑体" w:eastAsia="黑体" w:cs="黑体"/>
        </w:rPr>
      </w:pPr>
      <w:r>
        <w:rPr>
          <w:rFonts w:hint="eastAsia" w:ascii="黑体" w:hAnsi="黑体" w:eastAsia="黑体" w:cs="黑体"/>
        </w:rPr>
        <w:t>五、参赛条件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年满16周岁的各类创业群体均可报名参赛，项目所在地位于本县内。报名参赛项目应符合国家法律法规和国家产业政策，经营规范，社会信誉良好，无不良记录，不侵犯任何第三方知识产权。往届“中国创翼”创业创新大赛全国决赛获一、二、三等奖的项目不能参加。</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（一）主体赛、劳务品牌专项赛、乡村振兴专项赛报名参赛条件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1.截至2022年5月31日，在市场监督管理部门已登记注册且未满5年的企业或机构。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2.参赛项目具有创新性的技术、产品或经营服务模式, 具有较高成长潜力，项目的产品、经营属于同一参赛主体，且对技术有合法使用权。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3.参赛项目须为原创性创新项目，不存在知识产权争议，不会侵犯第三方的知识产权、所有权、使用权和处置权。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4.参赛者须为该项目的第一创始人或核心团队成员。</w:t>
      </w:r>
    </w:p>
    <w:p>
      <w:pPr>
        <w:keepNext w:val="0"/>
        <w:keepLines w:val="0"/>
        <w:pageBreakBefore w:val="0"/>
        <w:widowControl w:val="0"/>
        <w:kinsoku/>
        <w:wordWrap/>
        <w:overflowPunct/>
        <w:topLinePunct w:val="0"/>
        <w:autoSpaceDE/>
        <w:autoSpaceDN/>
        <w:bidi w:val="0"/>
        <w:adjustRightInd/>
        <w:snapToGrid/>
        <w:spacing w:line="540" w:lineRule="exact"/>
        <w:ind w:firstLine="474" w:firstLineChars="150"/>
        <w:textAlignment w:val="auto"/>
        <w:rPr>
          <w:rFonts w:ascii="楷体_GB2312" w:hAnsi="楷体_GB2312" w:eastAsia="楷体_GB2312" w:cs="楷体_GB2312"/>
        </w:rPr>
      </w:pPr>
      <w:r>
        <w:rPr>
          <w:rFonts w:hint="eastAsia" w:ascii="楷体_GB2312" w:hAnsi="楷体_GB2312" w:eastAsia="楷体_GB2312" w:cs="楷体_GB2312"/>
        </w:rPr>
        <w:t>（二）青年创意专项赛报名参赛条件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1.项目第一创始人须为截至2022年5月31日，已年满16周岁且不超过35周岁的高校及技工院校在校生、毕业生等青年群体。</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2.项目尚未在市场监督管理部门登记注册。</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3.项目在技术、产品、模式等方面有创新，有完整的创业计划书，具备落地发展必要条件，未来成长潜力较大。</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4.项目不存在知识产权争议，不会侵犯第三方的知识产权、所有权、使用权和处置权。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黑体" w:hAnsi="黑体" w:eastAsia="黑体" w:cs="黑体"/>
        </w:rPr>
      </w:pPr>
      <w:r>
        <w:rPr>
          <w:rFonts w:hint="eastAsia" w:ascii="黑体" w:hAnsi="黑体" w:eastAsia="黑体" w:cs="黑体"/>
        </w:rPr>
        <w:t>六、大赛要求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楷体_GB2312" w:hAnsi="楷体_GB2312" w:eastAsia="楷体_GB2312" w:cs="楷体_GB2312"/>
        </w:rPr>
      </w:pPr>
      <w:r>
        <w:rPr>
          <w:rFonts w:hint="eastAsia" w:ascii="楷体_GB2312" w:hAnsi="楷体_GB2312" w:eastAsia="楷体_GB2312" w:cs="楷体_GB2312"/>
        </w:rPr>
        <w:t>（一）时间安排</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pPr>
      <w:r>
        <w:rPr>
          <w:rFonts w:hint="eastAsia"/>
        </w:rPr>
        <w:t>1.报名：2022年4月1日-2022年4月1</w:t>
      </w:r>
      <w:r>
        <w:rPr>
          <w:rFonts w:hint="eastAsia"/>
          <w:lang w:val="en-US" w:eastAsia="zh-CN"/>
        </w:rPr>
        <w:t>2</w:t>
      </w:r>
      <w:r>
        <w:rPr>
          <w:rFonts w:hint="eastAsia"/>
        </w:rPr>
        <w:t>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pPr>
      <w:r>
        <w:rPr>
          <w:rFonts w:hint="eastAsia"/>
        </w:rPr>
        <w:t>2.初赛暨审查：2022年4月1</w:t>
      </w:r>
      <w:r>
        <w:rPr>
          <w:rFonts w:hint="eastAsia"/>
          <w:lang w:val="en-US" w:eastAsia="zh-CN"/>
        </w:rPr>
        <w:t>3</w:t>
      </w:r>
      <w:r>
        <w:rPr>
          <w:rFonts w:hint="eastAsia"/>
        </w:rPr>
        <w:t>日-2022年4月1</w:t>
      </w:r>
      <w:r>
        <w:rPr>
          <w:rFonts w:hint="eastAsia"/>
          <w:lang w:val="en-US" w:eastAsia="zh-CN"/>
        </w:rPr>
        <w:t>5</w:t>
      </w:r>
      <w:r>
        <w:rPr>
          <w:rFonts w:hint="eastAsia"/>
        </w:rPr>
        <w:t>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pPr>
      <w:r>
        <w:rPr>
          <w:rFonts w:hint="eastAsia"/>
        </w:rPr>
        <w:t>3.赛前辅导：2022年4月1</w:t>
      </w:r>
      <w:r>
        <w:rPr>
          <w:rFonts w:hint="eastAsia"/>
          <w:lang w:val="en-US" w:eastAsia="zh-CN"/>
        </w:rPr>
        <w:t>6</w:t>
      </w:r>
      <w:r>
        <w:rPr>
          <w:rFonts w:hint="eastAsia"/>
        </w:rPr>
        <w:t>日-2022年4月1</w:t>
      </w:r>
      <w:r>
        <w:rPr>
          <w:rFonts w:hint="eastAsia"/>
          <w:lang w:val="en-US" w:eastAsia="zh-CN"/>
        </w:rPr>
        <w:t>8</w:t>
      </w:r>
      <w:r>
        <w:rPr>
          <w:rFonts w:hint="eastAsia"/>
        </w:rPr>
        <w:t>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pPr>
      <w:r>
        <w:rPr>
          <w:rFonts w:hint="eastAsia"/>
        </w:rPr>
        <w:t>4.决赛：2022年4月19日；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b/>
          <w:bCs/>
        </w:rPr>
      </w:pPr>
      <w:r>
        <w:rPr>
          <w:rFonts w:hint="eastAsia"/>
        </w:rPr>
        <w:t>5.市赛赛前辅导：2022年4月20日-2022年4月30日。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参赛项目需真实、准确、完整提供相关信息（附件3），参赛项目不得同时兼报大赛多个赛事。</w:t>
      </w:r>
    </w:p>
    <w:p>
      <w:pPr>
        <w:pStyle w:val="30"/>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ascii="楷体_GB2312" w:hAnsi="楷体_GB2312" w:eastAsia="楷体_GB2312" w:cs="楷体_GB2312"/>
        </w:rPr>
      </w:pPr>
      <w:r>
        <w:rPr>
          <w:rFonts w:hint="eastAsia" w:ascii="楷体_GB2312" w:hAnsi="楷体_GB2312" w:eastAsia="楷体_GB2312" w:cs="楷体_GB2312"/>
        </w:rPr>
        <w:t>（二）评审标准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县级选拔赛按照</w:t>
      </w:r>
      <w:r>
        <w:rPr>
          <w:rFonts w:hint="eastAsia" w:ascii="仿宋_GB2312" w:hAnsi="仿宋_GB2312" w:eastAsia="仿宋_GB2312" w:cs="仿宋_GB2312"/>
          <w:lang w:eastAsia="zh-CN"/>
        </w:rPr>
        <w:t>省市</w:t>
      </w:r>
      <w:r>
        <w:rPr>
          <w:rFonts w:hint="eastAsia" w:ascii="仿宋_GB2312" w:hAnsi="仿宋_GB2312" w:eastAsia="仿宋_GB2312" w:cs="仿宋_GB2312"/>
        </w:rPr>
        <w:t>大赛制订的赛事规则和评审标准来实施，以利于参赛项目提前适应市、省级选拔赛和全国赛规则。组委会应和推荐的项目方进行充分沟通，以确保上报的项目做好准备。各评审标准详见附件6-附件10。</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196"/>
        <w:textAlignment w:val="auto"/>
        <w:rPr>
          <w:rFonts w:ascii="仿宋_GB2312" w:hAnsi="仿宋_GB2312" w:eastAsia="仿宋_GB2312" w:cs="仿宋_GB2312"/>
        </w:rPr>
      </w:pPr>
      <w:r>
        <w:rPr>
          <w:rFonts w:hint="eastAsia" w:ascii="仿宋_GB2312" w:hAnsi="仿宋_GB2312" w:eastAsia="仿宋_GB2312" w:cs="仿宋_GB2312"/>
        </w:rPr>
        <w:t>参赛项目可在上场前为评委提供相关纸质资料，便于评委对项目有更全了解。主持人及现场工作人员负责组织参赛项目和选手提前做好参赛准备，做好相应服务，引导按时出场，确保比赛有序进行。如该项目第一创始人由于特殊原因不能参赛，经第一创始人授权，可以由项目的联合创始人代表项目参赛。</w:t>
      </w:r>
    </w:p>
    <w:p>
      <w:pPr>
        <w:pStyle w:val="2"/>
        <w:keepNext w:val="0"/>
        <w:keepLines w:val="0"/>
        <w:pageBreakBefore w:val="0"/>
        <w:widowControl w:val="0"/>
        <w:kinsoku/>
        <w:wordWrap/>
        <w:overflowPunct/>
        <w:topLinePunct w:val="0"/>
        <w:autoSpaceDE/>
        <w:autoSpaceDN/>
        <w:bidi w:val="0"/>
        <w:adjustRightInd/>
        <w:snapToGrid/>
        <w:spacing w:line="540" w:lineRule="exact"/>
        <w:ind w:firstLine="553" w:firstLineChars="175"/>
        <w:textAlignment w:val="auto"/>
        <w:rPr>
          <w:rFonts w:ascii="楷体_GB2312" w:hAnsi="楷体_GB2312" w:eastAsia="楷体_GB2312" w:cs="楷体_GB2312"/>
        </w:rPr>
      </w:pPr>
      <w:r>
        <w:rPr>
          <w:rFonts w:hint="eastAsia" w:ascii="楷体_GB2312" w:hAnsi="楷体_GB2312" w:eastAsia="楷体_GB2312" w:cs="楷体_GB2312"/>
        </w:rPr>
        <w:t>（三）赛道安排</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196"/>
        <w:textAlignment w:val="auto"/>
        <w:rPr>
          <w:rFonts w:ascii="仿宋_GB2312" w:hAnsi="仿宋_GB2312" w:eastAsia="仿宋_GB2312" w:cs="仿宋_GB2312"/>
        </w:rPr>
      </w:pPr>
      <w:r>
        <w:rPr>
          <w:rFonts w:hint="eastAsia" w:ascii="仿宋_GB2312" w:hAnsi="仿宋_GB2312" w:eastAsia="仿宋_GB2312" w:cs="仿宋_GB2312"/>
        </w:rPr>
        <w:t>参加大赛的参赛项目，分5个赛道，5个赛道分别为：主体赛制造业项目组、主体赛服务业项目组、乡村振兴专项组、青年创意专项组、劳务品牌专项组。大赛报到当天，通过抽签方式确定各赛道参赛项目出场顺序。</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20" w:firstLineChars="196"/>
        <w:textAlignment w:val="auto"/>
        <w:rPr>
          <w:rFonts w:ascii="楷体_GB2312" w:hAnsi="楷体_GB2312" w:eastAsia="楷体_GB2312" w:cs="楷体_GB2312"/>
        </w:rPr>
      </w:pPr>
      <w:r>
        <w:rPr>
          <w:rFonts w:hint="eastAsia" w:ascii="楷体_GB2312" w:hAnsi="楷体_GB2312" w:eastAsia="楷体_GB2312" w:cs="楷体_GB2312"/>
        </w:rPr>
        <w:t>评委设置</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196"/>
        <w:textAlignment w:val="auto"/>
        <w:rPr>
          <w:rFonts w:ascii="仿宋_GB2312" w:hAnsi="仿宋_GB2312" w:eastAsia="仿宋_GB2312" w:cs="仿宋_GB2312"/>
        </w:rPr>
      </w:pPr>
      <w:r>
        <w:rPr>
          <w:rFonts w:hint="eastAsia" w:ascii="仿宋_GB2312" w:hAnsi="仿宋_GB2312" w:eastAsia="仿宋_GB2312" w:cs="仿宋_GB2312"/>
        </w:rPr>
        <w:t>大赛每个赛道设置评委5名、组长1名，负责评审工作组织协调和出现争议后牵头集体商议并形成最终意见。</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196"/>
        <w:textAlignment w:val="auto"/>
        <w:rPr>
          <w:rFonts w:ascii="仿宋_GB2312" w:hAnsi="仿宋_GB2312" w:eastAsia="仿宋_GB2312" w:cs="仿宋_GB2312"/>
        </w:rPr>
      </w:pPr>
      <w:r>
        <w:rPr>
          <w:rFonts w:hint="eastAsia" w:ascii="仿宋_GB2312" w:hAnsi="仿宋_GB2312" w:eastAsia="仿宋_GB2312" w:cs="仿宋_GB2312"/>
        </w:rPr>
        <w:t>大赛组委会与评委签订承诺书，每个赛道均由同一组评委按同一标准进行评分。评委不得与参赛方私下接触，不得私自泄露相关信息，以保证评审结果的公正公平。</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楷体_GB2312" w:hAnsi="楷体_GB2312" w:eastAsia="楷体_GB2312" w:cs="楷体_GB2312"/>
        </w:rPr>
      </w:pPr>
      <w:r>
        <w:rPr>
          <w:rFonts w:hint="eastAsia" w:ascii="楷体_GB2312" w:hAnsi="楷体_GB2312" w:eastAsia="楷体_GB2312" w:cs="楷体_GB2312"/>
        </w:rPr>
        <w:t>（五）比赛流程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b/>
          <w:bCs/>
        </w:rPr>
        <w:t>1.时间设置。</w:t>
      </w:r>
      <w:r>
        <w:rPr>
          <w:rFonts w:hint="eastAsia" w:ascii="仿宋_GB2312" w:hAnsi="仿宋_GB2312" w:eastAsia="仿宋_GB2312" w:cs="仿宋_GB2312"/>
        </w:rPr>
        <w:t>比赛现场采取“6+6+1”模式，项目路演</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rPr>
      </w:pPr>
      <w:r>
        <w:rPr>
          <w:rFonts w:hint="eastAsia" w:ascii="仿宋_GB2312" w:hAnsi="仿宋_GB2312" w:eastAsia="仿宋_GB2312" w:cs="仿宋_GB2312"/>
        </w:rPr>
        <w:t>6分钟（不超过6分钟），评委提问6分钟（不超过6分钟），1分钟打分。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b/>
          <w:bCs/>
        </w:rPr>
        <w:t>2.选手路演。</w:t>
      </w:r>
      <w:r>
        <w:rPr>
          <w:rFonts w:hint="eastAsia" w:ascii="仿宋_GB2312" w:hAnsi="仿宋_GB2312" w:eastAsia="仿宋_GB2312" w:cs="仿宋_GB2312"/>
        </w:rPr>
        <w:t>比赛采用项目路演的形式，选手结合路演内容，在有限时间内流畅、真实、完整的讲清自己的项目，客观呈现项目的优势。避免出现夸大和伪造事实的情况，选手对材料和现场表达的真实性负责。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b/>
          <w:bCs/>
        </w:rPr>
        <w:t>3.评委提问。</w:t>
      </w:r>
      <w:r>
        <w:rPr>
          <w:rFonts w:hint="eastAsia" w:ascii="仿宋_GB2312" w:hAnsi="仿宋_GB2312" w:eastAsia="仿宋_GB2312" w:cs="仿宋_GB2312"/>
        </w:rPr>
        <w:t>每个项目单个评委可以提问1个问题，至多提问2个问题，便于全体评委比较全面了解项目。</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b/>
          <w:bCs/>
        </w:rPr>
        <w:t>4.评委打分。</w:t>
      </w:r>
      <w:r>
        <w:rPr>
          <w:rFonts w:hint="eastAsia" w:ascii="仿宋_GB2312" w:hAnsi="仿宋_GB2312" w:eastAsia="仿宋_GB2312" w:cs="仿宋_GB2312"/>
        </w:rPr>
        <w:t>评委打分时，参考评分细则及相关评审资料，依照评分表进行评分并按要求进行填写，每个项目评审工作完毕，评委需要在评委评分表上进行打分并签字确认。</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b/>
          <w:bCs/>
        </w:rPr>
        <w:t>5.分数统计。</w:t>
      </w:r>
      <w:r>
        <w:rPr>
          <w:rFonts w:hint="eastAsia" w:ascii="仿宋_GB2312" w:hAnsi="仿宋_GB2312" w:eastAsia="仿宋_GB2312" w:cs="仿宋_GB2312"/>
        </w:rPr>
        <w:t>每一个项目比赛结束，现场工作人员负责收集评分表，并进行分数记录、统计等工作。现场路演评分即为参赛选手的最终得分。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b/>
          <w:bCs/>
        </w:rPr>
        <w:t>6.成绩公布。</w:t>
      </w:r>
      <w:r>
        <w:rPr>
          <w:rFonts w:hint="eastAsia" w:ascii="仿宋_GB2312" w:hAnsi="仿宋_GB2312" w:eastAsia="仿宋_GB2312" w:cs="仿宋_GB2312"/>
        </w:rPr>
        <w:t>即时公布参赛项目成绩，当日比赛结束后，各组公布当天成绩及排名。</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黑体" w:hAnsi="黑体" w:eastAsia="黑体" w:cs="黑体"/>
        </w:rPr>
      </w:pPr>
      <w:r>
        <w:rPr>
          <w:rFonts w:hint="eastAsia" w:ascii="黑体" w:hAnsi="黑体" w:eastAsia="黑体" w:cs="黑体"/>
        </w:rPr>
        <w:t>七、奖励与扶持</w:t>
      </w:r>
    </w:p>
    <w:p>
      <w:pPr>
        <w:keepNext w:val="0"/>
        <w:keepLines w:val="0"/>
        <w:pageBreakBefore w:val="0"/>
        <w:widowControl w:val="0"/>
        <w:kinsoku/>
        <w:wordWrap/>
        <w:overflowPunct/>
        <w:topLinePunct w:val="0"/>
        <w:autoSpaceDE/>
        <w:autoSpaceDN/>
        <w:bidi w:val="0"/>
        <w:adjustRightInd/>
        <w:snapToGrid/>
        <w:spacing w:line="540" w:lineRule="exact"/>
        <w:ind w:firstLine="660"/>
        <w:textAlignment w:val="auto"/>
        <w:rPr>
          <w:rFonts w:ascii="楷体_GB2312" w:hAnsi="楷体_GB2312" w:eastAsia="楷体_GB2312" w:cs="楷体_GB2312"/>
        </w:rPr>
      </w:pPr>
      <w:r>
        <w:rPr>
          <w:rFonts w:hint="eastAsia" w:ascii="楷体_GB2312" w:hAnsi="楷体_GB2312" w:eastAsia="楷体_GB2312" w:cs="楷体_GB2312"/>
        </w:rPr>
        <w:t>（一）奖励</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pPr>
      <w:r>
        <w:rPr>
          <w:rFonts w:hint="eastAsia"/>
        </w:rPr>
        <w:t>1.主体赛道制造业项目组</w:t>
      </w:r>
      <w:r>
        <w:rPr>
          <w:rFonts w:hint="eastAsia"/>
          <w:lang w:eastAsia="zh-CN"/>
        </w:rPr>
        <w:t>：</w:t>
      </w:r>
      <w:r>
        <w:rPr>
          <w:rFonts w:hint="eastAsia"/>
        </w:rPr>
        <w:t>设一等奖1名、二等奖1名、优秀奖若干；对获奖企业分别给予</w:t>
      </w:r>
      <w:r>
        <w:rPr>
          <w:rFonts w:hint="eastAsia"/>
          <w:lang w:val="en-US" w:eastAsia="zh-CN"/>
        </w:rPr>
        <w:t>1</w:t>
      </w:r>
      <w:r>
        <w:rPr>
          <w:rFonts w:hint="eastAsia"/>
        </w:rPr>
        <w:t>0000元、</w:t>
      </w:r>
      <w:r>
        <w:rPr>
          <w:rFonts w:hint="eastAsia"/>
          <w:lang w:val="en-US" w:eastAsia="zh-CN"/>
        </w:rPr>
        <w:t>5</w:t>
      </w:r>
      <w:r>
        <w:rPr>
          <w:rFonts w:hint="eastAsia"/>
        </w:rPr>
        <w:t>000元、2000元的创业补贴；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rPr>
      </w:pPr>
      <w:r>
        <w:rPr>
          <w:rFonts w:hint="eastAsia"/>
        </w:rPr>
        <w:t>2.主体赛道服务业项目组</w:t>
      </w:r>
      <w:r>
        <w:rPr>
          <w:rFonts w:hint="eastAsia"/>
          <w:lang w:eastAsia="zh-CN"/>
        </w:rPr>
        <w:t>：</w:t>
      </w:r>
      <w:r>
        <w:rPr>
          <w:rFonts w:hint="eastAsia"/>
        </w:rPr>
        <w:t>设一等奖1名、二等奖1名、优秀奖若干；对获奖企业分别给予</w:t>
      </w:r>
      <w:r>
        <w:rPr>
          <w:rFonts w:hint="eastAsia"/>
          <w:lang w:val="en-US" w:eastAsia="zh-CN"/>
        </w:rPr>
        <w:t>1</w:t>
      </w:r>
      <w:r>
        <w:rPr>
          <w:rFonts w:hint="eastAsia"/>
        </w:rPr>
        <w:t>0000元、</w:t>
      </w:r>
      <w:r>
        <w:rPr>
          <w:rFonts w:hint="eastAsia"/>
          <w:lang w:val="en-US" w:eastAsia="zh-CN"/>
        </w:rPr>
        <w:t>5</w:t>
      </w:r>
      <w:r>
        <w:rPr>
          <w:rFonts w:hint="eastAsia"/>
        </w:rPr>
        <w:t>000元、2000元的创业补贴；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pPr>
      <w:r>
        <w:rPr>
          <w:rFonts w:hint="eastAsia"/>
        </w:rPr>
        <w:t>3.乡村振兴专项组</w:t>
      </w:r>
      <w:r>
        <w:rPr>
          <w:rFonts w:hint="eastAsia"/>
          <w:lang w:eastAsia="zh-CN"/>
        </w:rPr>
        <w:t>：</w:t>
      </w:r>
      <w:r>
        <w:rPr>
          <w:rFonts w:hint="eastAsia"/>
        </w:rPr>
        <w:t>设一等奖1名、二等奖1名、优秀奖若干；对获奖企业分别给予</w:t>
      </w:r>
      <w:r>
        <w:rPr>
          <w:rFonts w:hint="eastAsia"/>
          <w:lang w:val="en-US" w:eastAsia="zh-CN"/>
        </w:rPr>
        <w:t>10</w:t>
      </w:r>
      <w:r>
        <w:rPr>
          <w:rFonts w:hint="eastAsia"/>
        </w:rPr>
        <w:t>000元、</w:t>
      </w:r>
      <w:r>
        <w:rPr>
          <w:rFonts w:hint="eastAsia"/>
          <w:lang w:val="en-US" w:eastAsia="zh-CN"/>
        </w:rPr>
        <w:t>5</w:t>
      </w:r>
      <w:r>
        <w:rPr>
          <w:rFonts w:hint="eastAsia"/>
        </w:rPr>
        <w:t>000元、</w:t>
      </w:r>
      <w:r>
        <w:rPr>
          <w:rFonts w:hint="eastAsia"/>
          <w:lang w:val="en-US" w:eastAsia="zh-CN"/>
        </w:rPr>
        <w:t>2</w:t>
      </w:r>
      <w:r>
        <w:rPr>
          <w:rFonts w:hint="eastAsia"/>
        </w:rPr>
        <w:t>000元的创业补贴；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rPr>
      </w:pPr>
      <w:r>
        <w:rPr>
          <w:rFonts w:hint="eastAsia"/>
        </w:rPr>
        <w:t>4.劳务品牌专项组</w:t>
      </w:r>
      <w:r>
        <w:rPr>
          <w:rFonts w:hint="eastAsia"/>
          <w:lang w:val="en-US" w:eastAsia="zh-CN"/>
        </w:rPr>
        <w:t>:</w:t>
      </w:r>
      <w:r>
        <w:rPr>
          <w:rFonts w:hint="eastAsia"/>
        </w:rPr>
        <w:t>设一等奖1名、二等奖1名、优秀奖若干；对获奖企业分别给予</w:t>
      </w:r>
      <w:r>
        <w:rPr>
          <w:rFonts w:hint="eastAsia"/>
          <w:lang w:val="en-US" w:eastAsia="zh-CN"/>
        </w:rPr>
        <w:t>5</w:t>
      </w:r>
      <w:r>
        <w:rPr>
          <w:rFonts w:hint="eastAsia"/>
        </w:rPr>
        <w:t>000元、</w:t>
      </w:r>
      <w:r>
        <w:rPr>
          <w:rFonts w:hint="eastAsia"/>
          <w:lang w:val="en-US" w:eastAsia="zh-CN"/>
        </w:rPr>
        <w:t>3</w:t>
      </w:r>
      <w:r>
        <w:rPr>
          <w:rFonts w:hint="eastAsia"/>
        </w:rPr>
        <w:t>000元、1000元的创业补贴；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rPr>
      </w:pPr>
      <w:r>
        <w:rPr>
          <w:rFonts w:hint="eastAsia"/>
        </w:rPr>
        <w:t>5.青年创</w:t>
      </w:r>
      <w:r>
        <w:rPr>
          <w:rFonts w:hint="eastAsia"/>
          <w:lang w:eastAsia="zh-CN"/>
        </w:rPr>
        <w:t>意</w:t>
      </w:r>
      <w:r>
        <w:rPr>
          <w:rFonts w:hint="eastAsia"/>
        </w:rPr>
        <w:t>专项组</w:t>
      </w:r>
      <w:r>
        <w:rPr>
          <w:rFonts w:hint="eastAsia"/>
          <w:lang w:val="en-US" w:eastAsia="zh-CN"/>
        </w:rPr>
        <w:t>:</w:t>
      </w:r>
      <w:r>
        <w:rPr>
          <w:rFonts w:hint="eastAsia"/>
        </w:rPr>
        <w:t>设一等奖1名、二等奖1名、优秀奖若干；分别给予</w:t>
      </w:r>
      <w:r>
        <w:rPr>
          <w:rFonts w:hint="eastAsia"/>
          <w:lang w:val="en-US" w:eastAsia="zh-CN"/>
        </w:rPr>
        <w:t>4</w:t>
      </w:r>
      <w:r>
        <w:rPr>
          <w:rFonts w:hint="eastAsia"/>
        </w:rPr>
        <w:t>000元、</w:t>
      </w:r>
      <w:r>
        <w:rPr>
          <w:rFonts w:hint="eastAsia"/>
          <w:lang w:val="en-US" w:eastAsia="zh-CN"/>
        </w:rPr>
        <w:t>2</w:t>
      </w:r>
      <w:r>
        <w:rPr>
          <w:rFonts w:hint="eastAsia"/>
        </w:rPr>
        <w:t>000元、1000元的创业补贴；</w:t>
      </w:r>
    </w:p>
    <w:p>
      <w:pPr>
        <w:pStyle w:val="2"/>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ascii="仿宋_GB2312" w:hAnsi="仿宋_GB2312" w:eastAsia="仿宋_GB2312" w:cs="仿宋_GB2312"/>
        </w:rPr>
      </w:pPr>
      <w:r>
        <w:rPr>
          <w:rFonts w:hint="eastAsia" w:ascii="仿宋_GB2312" w:hAnsi="仿宋_GB2312" w:eastAsia="仿宋_GB2312" w:cs="仿宋_GB2312"/>
          <w:lang w:eastAsia="zh-CN"/>
        </w:rPr>
        <w:t>通过初赛审查后的项目进入决赛，</w:t>
      </w:r>
      <w:r>
        <w:rPr>
          <w:rFonts w:hint="eastAsia" w:ascii="仿宋_GB2312" w:hAnsi="仿宋_GB2312" w:eastAsia="仿宋_GB2312" w:cs="仿宋_GB2312"/>
        </w:rPr>
        <w:t>各项目组</w:t>
      </w:r>
      <w:r>
        <w:rPr>
          <w:rFonts w:hint="eastAsia" w:ascii="仿宋_GB2312" w:hAnsi="仿宋_GB2312" w:eastAsia="仿宋_GB2312" w:cs="仿宋_GB2312"/>
          <w:lang w:eastAsia="zh-CN"/>
        </w:rPr>
        <w:t>决赛</w:t>
      </w:r>
      <w:r>
        <w:rPr>
          <w:rFonts w:hint="eastAsia" w:ascii="仿宋_GB2312" w:hAnsi="仿宋_GB2312" w:eastAsia="仿宋_GB2312" w:cs="仿宋_GB2312"/>
        </w:rPr>
        <w:t>人数</w:t>
      </w:r>
      <w:r>
        <w:rPr>
          <w:rFonts w:hint="eastAsia" w:ascii="仿宋_GB2312" w:hAnsi="仿宋_GB2312" w:eastAsia="仿宋_GB2312" w:cs="仿宋_GB2312"/>
          <w:lang w:eastAsia="zh-CN"/>
        </w:rPr>
        <w:t>达</w:t>
      </w:r>
      <w:r>
        <w:rPr>
          <w:rFonts w:hint="eastAsia" w:ascii="仿宋_GB2312" w:hAnsi="仿宋_GB2312" w:eastAsia="仿宋_GB2312" w:cs="仿宋_GB2312"/>
          <w:lang w:val="en-US" w:eastAsia="zh-CN"/>
        </w:rPr>
        <w:t>3人以上（含3人），方可开赛，</w:t>
      </w:r>
      <w:r>
        <w:rPr>
          <w:rFonts w:hint="eastAsia" w:ascii="仿宋_GB2312" w:hAnsi="仿宋_GB2312" w:eastAsia="仿宋_GB2312" w:cs="仿宋_GB2312"/>
          <w:lang w:eastAsia="zh-CN"/>
        </w:rPr>
        <w:t>参赛人数为</w:t>
      </w:r>
      <w:r>
        <w:rPr>
          <w:rFonts w:hint="eastAsia" w:ascii="仿宋_GB2312" w:hAnsi="仿宋_GB2312" w:eastAsia="仿宋_GB2312" w:cs="仿宋_GB2312"/>
          <w:lang w:val="en-US" w:eastAsia="zh-CN"/>
        </w:rPr>
        <w:t>3人的，取一等奖1名，优秀奖若干；参赛人数4人以上的，取</w:t>
      </w:r>
      <w:r>
        <w:rPr>
          <w:rFonts w:hint="eastAsia" w:ascii="仿宋_GB2312" w:hAnsi="仿宋_GB2312" w:eastAsia="仿宋_GB2312" w:cs="仿宋_GB2312"/>
        </w:rPr>
        <w:t>一、二等奖</w:t>
      </w:r>
      <w:r>
        <w:rPr>
          <w:rFonts w:hint="eastAsia" w:ascii="仿宋_GB2312" w:hAnsi="仿宋_GB2312" w:eastAsia="仿宋_GB2312" w:cs="仿宋_GB2312"/>
          <w:lang w:eastAsia="zh-CN"/>
        </w:rPr>
        <w:t>各</w:t>
      </w:r>
      <w:r>
        <w:rPr>
          <w:rFonts w:hint="eastAsia" w:ascii="仿宋_GB2312" w:hAnsi="仿宋_GB2312" w:eastAsia="仿宋_GB2312" w:cs="仿宋_GB2312"/>
          <w:lang w:val="en-US" w:eastAsia="zh-CN"/>
        </w:rPr>
        <w:t>1名，优秀奖若干</w:t>
      </w:r>
      <w:r>
        <w:rPr>
          <w:rFonts w:hint="eastAsia" w:ascii="仿宋_GB2312" w:hAnsi="仿宋_GB2312" w:eastAsia="仿宋_GB2312" w:cs="仿宋_GB2312"/>
        </w:rPr>
        <w:t>。</w:t>
      </w:r>
      <w:r>
        <w:rPr>
          <w:rFonts w:hint="eastAsia"/>
        </w:rPr>
        <w:t>大赛组委会对获得大赛一、二等奖、优秀奖的项目颁发奖牌和证书，由县人力资源和社会保障局授予“优秀创业创新项目”称号</w:t>
      </w:r>
      <w:r>
        <w:rPr>
          <w:rFonts w:hint="eastAsia"/>
          <w:lang w:eastAsia="zh-CN"/>
        </w:rPr>
        <w:t>；其中在</w:t>
      </w:r>
      <w:r>
        <w:rPr>
          <w:rFonts w:hint="eastAsia" w:ascii="仿宋_GB2312" w:hAnsi="仿宋_GB2312" w:eastAsia="仿宋_GB2312" w:cs="仿宋_GB2312"/>
        </w:rPr>
        <w:t>比赛中获得一、二等奖</w:t>
      </w:r>
      <w:r>
        <w:rPr>
          <w:rFonts w:hint="eastAsia" w:ascii="仿宋_GB2312" w:hAnsi="仿宋_GB2312" w:eastAsia="仿宋_GB2312" w:cs="仿宋_GB2312"/>
          <w:lang w:eastAsia="zh-CN"/>
        </w:rPr>
        <w:t>且</w:t>
      </w:r>
      <w:r>
        <w:rPr>
          <w:rFonts w:hint="eastAsia" w:ascii="仿宋_GB2312" w:hAnsi="仿宋_GB2312" w:eastAsia="仿宋_GB2312" w:cs="仿宋_GB2312"/>
        </w:rPr>
        <w:t>年龄在35岁以下的</w:t>
      </w:r>
      <w:r>
        <w:rPr>
          <w:rFonts w:hint="eastAsia" w:ascii="仿宋_GB2312" w:hAnsi="仿宋_GB2312" w:eastAsia="仿宋_GB2312" w:cs="仿宋_GB2312"/>
          <w:lang w:eastAsia="zh-CN"/>
        </w:rPr>
        <w:t>青年创业</w:t>
      </w:r>
      <w:r>
        <w:rPr>
          <w:rFonts w:hint="eastAsia" w:ascii="仿宋_GB2312" w:hAnsi="仿宋_GB2312" w:eastAsia="仿宋_GB2312" w:cs="仿宋_GB2312"/>
        </w:rPr>
        <w:t>人员</w:t>
      </w:r>
      <w:r>
        <w:rPr>
          <w:rFonts w:hint="eastAsia" w:ascii="仿宋_GB2312" w:hAnsi="仿宋_GB2312" w:eastAsia="仿宋_GB2312" w:cs="仿宋_GB2312"/>
          <w:lang w:eastAsia="zh-CN"/>
        </w:rPr>
        <w:t>，由共青团宁远县委员会</w:t>
      </w:r>
      <w:r>
        <w:rPr>
          <w:rFonts w:hint="eastAsia" w:ascii="仿宋_GB2312" w:hAnsi="仿宋_GB2312" w:eastAsia="仿宋_GB2312" w:cs="仿宋_GB2312"/>
        </w:rPr>
        <w:t>授予“青年岗位能手”称号。</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楷体_GB2312" w:hAnsi="楷体_GB2312" w:eastAsia="楷体_GB2312" w:cs="楷体_GB2312"/>
        </w:rPr>
      </w:pPr>
      <w:r>
        <w:rPr>
          <w:rFonts w:hint="eastAsia" w:ascii="楷体_GB2312" w:hAnsi="楷体_GB2312" w:eastAsia="楷体_GB2312" w:cs="楷体_GB2312"/>
        </w:rPr>
        <w:t>（二）扶持服务</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rPr>
        <w:t>在</w:t>
      </w:r>
      <w:r>
        <w:rPr>
          <w:rFonts w:hint="eastAsia"/>
          <w:lang w:eastAsia="zh-CN"/>
        </w:rPr>
        <w:t>大</w:t>
      </w:r>
      <w:r>
        <w:rPr>
          <w:rFonts w:hint="eastAsia"/>
        </w:rPr>
        <w:t>赛中获得一、二等奖且符合条件的项目，推荐参与市级“创青春”创新创业大赛。</w:t>
      </w:r>
      <w:r>
        <w:rPr>
          <w:rFonts w:hint="eastAsia" w:ascii="仿宋_GB2312" w:hAnsi="仿宋_GB2312" w:eastAsia="仿宋_GB2312" w:cs="仿宋_GB2312"/>
        </w:rPr>
        <w:t>从参加市级选拔赛的项目中</w:t>
      </w:r>
      <w:r>
        <w:rPr>
          <w:rFonts w:hint="eastAsia" w:ascii="仿宋_GB2312" w:hAnsi="仿宋_GB2312" w:eastAsia="仿宋_GB2312" w:cs="仿宋_GB2312"/>
          <w:lang w:eastAsia="zh-CN"/>
        </w:rPr>
        <w:t>选择</w:t>
      </w:r>
      <w:r>
        <w:rPr>
          <w:rFonts w:hint="eastAsia" w:ascii="仿宋_GB2312" w:hAnsi="仿宋_GB2312" w:eastAsia="仿宋_GB2312" w:cs="仿宋_GB2312"/>
        </w:rPr>
        <w:t>一批有代表性的创业典型，在系统内和社会上广泛宣传，发挥典型示范引领作用。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县人社部门积极协调其他相关部门，将大赛评选结果与本地创业扶持、创业服务、人才鼓励等政策措施相挂钩。对晋级省级选拔赛的项目，尤其是获得“优秀创业创新项目”称号的项目，可放宽创业担保贷款申请条件，并在资金扶持、入驻园区、孵化培训等方面给予优先扶持。</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黑体" w:hAnsi="黑体" w:eastAsia="黑体" w:cs="黑体"/>
        </w:rPr>
      </w:pPr>
      <w:r>
        <w:rPr>
          <w:rFonts w:hint="eastAsia" w:ascii="黑体" w:hAnsi="黑体" w:eastAsia="黑体" w:cs="黑体"/>
        </w:rPr>
        <w:t>八、工作分工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县人力资源和社会保障局：</w:t>
      </w:r>
      <w:r>
        <w:rPr>
          <w:rFonts w:hint="eastAsia" w:ascii="仿宋_GB2312" w:hAnsi="仿宋_GB2312" w:eastAsia="仿宋_GB2312" w:cs="仿宋_GB2312"/>
        </w:rPr>
        <w:t>牵头组织本次比赛，负责赛会报名、组织初赛审查；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eastAsia="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b/>
          <w:bCs/>
          <w:kern w:val="2"/>
          <w:sz w:val="32"/>
          <w:szCs w:val="32"/>
          <w:lang w:val="en-US" w:eastAsia="zh-CN" w:bidi="ar-SA"/>
        </w:rPr>
        <w:t>县高新区管委会：</w:t>
      </w:r>
      <w:r>
        <w:rPr>
          <w:rFonts w:hint="eastAsia" w:ascii="仿宋" w:hAnsi="仿宋" w:eastAsia="仿宋" w:cs="仿宋"/>
          <w:b w:val="0"/>
          <w:bCs w:val="0"/>
          <w:sz w:val="32"/>
          <w:szCs w:val="32"/>
          <w:lang w:val="en-US" w:eastAsia="zh-CN"/>
        </w:rPr>
        <w:t>负责</w:t>
      </w:r>
      <w:r>
        <w:rPr>
          <w:rFonts w:hint="eastAsia" w:cs="仿宋"/>
          <w:b w:val="0"/>
          <w:bCs w:val="0"/>
          <w:sz w:val="32"/>
          <w:szCs w:val="32"/>
          <w:lang w:val="en-US" w:eastAsia="zh-CN"/>
        </w:rPr>
        <w:t>园区</w:t>
      </w:r>
      <w:r>
        <w:rPr>
          <w:rFonts w:hint="eastAsia" w:ascii="仿宋" w:hAnsi="仿宋" w:eastAsia="仿宋" w:cs="仿宋"/>
          <w:b w:val="0"/>
          <w:bCs w:val="0"/>
          <w:sz w:val="32"/>
          <w:szCs w:val="32"/>
          <w:lang w:val="en-US" w:eastAsia="zh-CN"/>
        </w:rPr>
        <w:t>企业组织发动、宣传造势，并提供相关配套政策支持；</w:t>
      </w: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b/>
          <w:bCs/>
        </w:rPr>
        <w:t>县科工局：</w:t>
      </w:r>
      <w:r>
        <w:rPr>
          <w:rFonts w:hint="eastAsia" w:ascii="仿宋_GB2312" w:hAnsi="仿宋_GB2312" w:eastAsia="仿宋_GB2312" w:cs="仿宋_GB2312"/>
        </w:rPr>
        <w:t>负责制造行业初创企业组织发动、宣传造势，并提供相关科技计划项目经费、金融补助等配套政策支持；</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县总工会：</w:t>
      </w:r>
      <w:r>
        <w:rPr>
          <w:rFonts w:hint="eastAsia" w:ascii="仿宋_GB2312" w:hAnsi="仿宋_GB2312" w:eastAsia="仿宋_GB2312" w:cs="仿宋_GB2312"/>
        </w:rPr>
        <w:t>负责服务行业初创企业组织发动、宣传造势，并提供相关配套政策支持；</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 xml:space="preserve">    </w:t>
      </w:r>
      <w:r>
        <w:rPr>
          <w:rFonts w:hint="eastAsia" w:ascii="仿宋_GB2312" w:hAnsi="仿宋_GB2312" w:eastAsia="仿宋_GB2312" w:cs="仿宋_GB2312"/>
          <w:b/>
          <w:bCs/>
        </w:rPr>
        <w:t>县乡村振兴局：</w:t>
      </w:r>
      <w:r>
        <w:rPr>
          <w:rFonts w:hint="eastAsia" w:ascii="仿宋_GB2312" w:hAnsi="仿宋_GB2312" w:eastAsia="仿宋_GB2312" w:cs="仿宋_GB2312"/>
        </w:rPr>
        <w:t>负责乡村振兴相关产业内初创企业组织发动、宣传造势并提供相关配套政策支持；</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rPr>
        <w:t>共青团县委：</w:t>
      </w:r>
      <w:r>
        <w:rPr>
          <w:rFonts w:hint="eastAsia" w:ascii="仿宋_GB2312" w:hAnsi="仿宋_GB2312" w:eastAsia="仿宋_GB2312" w:cs="仿宋_GB2312"/>
        </w:rPr>
        <w:t>负责对年满16周岁且不超过35周岁的高校及技工院校在校生、毕业生等青年群体组织发动、宣传造势；</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仿宋_GB2312" w:eastAsia="仿宋_GB2312" w:cs="仿宋_GB2312"/>
        </w:rPr>
      </w:pPr>
      <w:r>
        <w:rPr>
          <w:rFonts w:hint="eastAsia" w:ascii="仿宋_GB2312" w:hAnsi="仿宋_GB2312" w:eastAsia="仿宋_GB2312" w:cs="仿宋_GB2312"/>
          <w:b/>
          <w:bCs/>
        </w:rPr>
        <w:t>县就业服务中心：</w:t>
      </w:r>
      <w:r>
        <w:rPr>
          <w:rFonts w:hint="eastAsia" w:ascii="仿宋_GB2312" w:hAnsi="仿宋_GB2312" w:eastAsia="仿宋_GB2312" w:cs="仿宋_GB2312"/>
        </w:rPr>
        <w:t>负责赛事组织并执行区决赛前与市复赛前项目辅导，行业专家聘请、媒体安排</w:t>
      </w:r>
      <w:r>
        <w:rPr>
          <w:rFonts w:hint="eastAsia" w:ascii="仿宋_GB2312" w:hAnsi="仿宋_GB2312" w:eastAsia="仿宋_GB2312" w:cs="仿宋_GB2312"/>
          <w:lang w:eastAsia="zh-CN"/>
        </w:rPr>
        <w:t>等</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rPr>
      </w:pPr>
      <w:r>
        <w:rPr>
          <w:rFonts w:hint="eastAsia" w:ascii="仿宋_GB2312" w:hAnsi="仿宋_GB2312" w:cs="仿宋_GB2312"/>
          <w:b/>
          <w:bCs/>
        </w:rPr>
        <w:t>县创业孵化基地国家级众创空间</w:t>
      </w:r>
      <w:r>
        <w:rPr>
          <w:rFonts w:hint="eastAsia" w:ascii="仿宋_GB2312" w:hAnsi="仿宋_GB2312" w:eastAsia="仿宋_GB2312" w:cs="仿宋_GB2312"/>
          <w:b/>
          <w:bCs/>
        </w:rPr>
        <w:t>：</w:t>
      </w:r>
      <w:r>
        <w:rPr>
          <w:rFonts w:hint="eastAsia" w:ascii="仿宋_GB2312" w:hAnsi="仿宋_GB2312" w:eastAsia="仿宋_GB2312" w:cs="仿宋_GB2312"/>
        </w:rPr>
        <w:t>负责会场布置、会场宣传氛围营造、会场签到、会场防疫、主持、会场饮用水、奖杯证书牌匾、餐饮、拍照摄影、新闻稿撰写等。</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200" w:hanging="948" w:hangingChars="300"/>
        <w:jc w:val="left"/>
        <w:textAlignment w:val="auto"/>
        <w:rPr>
          <w:rFonts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200" w:hanging="948" w:hangingChars="300"/>
        <w:jc w:val="left"/>
        <w:textAlignment w:val="auto"/>
        <w:rPr>
          <w:rFonts w:ascii="仿宋_GB2312" w:hAnsi="仿宋_GB2312" w:eastAsia="仿宋_GB2312" w:cs="仿宋_GB2312"/>
        </w:rPr>
      </w:pPr>
      <w:r>
        <w:rPr>
          <w:rFonts w:hint="eastAsia" w:ascii="仿宋_GB2312" w:hAnsi="仿宋_GB2312" w:eastAsia="仿宋_GB2312" w:cs="仿宋_GB2312"/>
        </w:rPr>
        <w:t>附件：1.第五届“中国创翼”创业创新大赛永州市选拔赛组委会名单</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2.选拔赛各分赛区推荐参赛项目名额分配表</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3.报名参赛项目需提交的材料清单</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4.分赛区参赛项目报名及资格审核情况统计表</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5.分赛区推荐参赛项目清单</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6.主体赛制造业项目组评审标准</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7.主体赛服务业项目组评审标准</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8.青年创意专项赛评审标准</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9.乡村振兴专项赛评审标准</w:t>
      </w:r>
    </w:p>
    <w:p>
      <w:pPr>
        <w:pStyle w:val="2"/>
        <w:keepNext w:val="0"/>
        <w:keepLines w:val="0"/>
        <w:pageBreakBefore w:val="0"/>
        <w:widowControl w:val="0"/>
        <w:kinsoku/>
        <w:wordWrap/>
        <w:overflowPunct/>
        <w:topLinePunct w:val="0"/>
        <w:autoSpaceDE/>
        <w:autoSpaceDN/>
        <w:bidi w:val="0"/>
        <w:adjustRightInd/>
        <w:snapToGrid/>
        <w:spacing w:line="540" w:lineRule="exact"/>
        <w:ind w:left="1580" w:leftChars="500"/>
        <w:jc w:val="left"/>
        <w:textAlignment w:val="auto"/>
        <w:rPr>
          <w:rFonts w:ascii="仿宋_GB2312" w:hAnsi="仿宋_GB2312" w:eastAsia="仿宋_GB2312" w:cs="仿宋_GB2312"/>
        </w:rPr>
      </w:pPr>
      <w:r>
        <w:rPr>
          <w:rFonts w:hint="eastAsia" w:ascii="仿宋_GB2312" w:hAnsi="仿宋_GB2312" w:eastAsia="仿宋_GB2312" w:cs="仿宋_GB2312"/>
        </w:rPr>
        <w:t>10.劳务品牌专项赛评审标准</w:t>
      </w:r>
    </w:p>
    <w:p>
      <w:pPr>
        <w:widowControl/>
        <w:spacing w:line="560" w:lineRule="exact"/>
        <w:jc w:val="left"/>
        <w:rPr>
          <w:rFonts w:ascii="仿宋_GB2312" w:hAnsi="仿宋_GB2312" w:eastAsia="仿宋_GB2312" w:cs="仿宋_GB2312"/>
        </w:rPr>
      </w:pPr>
      <w:r>
        <w:rPr>
          <w:rFonts w:hint="eastAsia" w:ascii="仿宋_GB2312" w:hAnsi="仿宋_GB2312" w:eastAsia="仿宋_GB2312" w:cs="仿宋_GB2312"/>
        </w:rPr>
        <w:br w:type="page"/>
      </w:r>
      <w:r>
        <w:rPr>
          <w:rFonts w:hint="eastAsia" w:ascii="黑体" w:hAnsi="黑体" w:eastAsia="黑体" w:cs="黑体"/>
        </w:rPr>
        <w:t>附件1</w:t>
      </w:r>
    </w:p>
    <w:p>
      <w:pPr>
        <w:spacing w:line="560" w:lineRule="exact"/>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第五届“中国创翼”创业创新大赛</w:t>
      </w:r>
    </w:p>
    <w:p>
      <w:pPr>
        <w:spacing w:line="560" w:lineRule="exact"/>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宁远县选拔赛组委会名单</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黑体" w:hAnsi="黑体" w:eastAsia="黑体" w:cs="黑体"/>
          <w:szCs w:val="40"/>
        </w:rPr>
      </w:pPr>
      <w:r>
        <w:rPr>
          <w:rFonts w:hint="eastAsia" w:ascii="黑体" w:hAnsi="黑体" w:eastAsia="黑体" w:cs="黑体"/>
          <w:szCs w:val="40"/>
        </w:rPr>
        <w:t>顾  问</w:t>
      </w:r>
    </w:p>
    <w:p>
      <w:pPr>
        <w:pStyle w:val="9"/>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pPr>
      <w:r>
        <w:rPr>
          <w:rFonts w:hint="eastAsia"/>
        </w:rPr>
        <w:t>曾彩平    宁远</w:t>
      </w:r>
      <w:r>
        <w:rPr>
          <w:rFonts w:hint="eastAsia" w:ascii="仿宋_GB2312" w:hAnsi="仿宋_GB2312" w:cs="仿宋_GB2312"/>
          <w:lang w:val="zh-CN"/>
        </w:rPr>
        <w:t>县人民政府党组成员、副县长</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黑体" w:hAnsi="黑体" w:eastAsia="黑体" w:cs="黑体"/>
          <w:szCs w:val="40"/>
        </w:rPr>
      </w:pPr>
      <w:r>
        <w:rPr>
          <w:rFonts w:hint="eastAsia" w:ascii="黑体" w:hAnsi="黑体" w:eastAsia="黑体" w:cs="黑体"/>
          <w:szCs w:val="40"/>
        </w:rPr>
        <w:t>主  任</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_GB2312" w:hAnsi="仿宋_GB2312" w:eastAsia="仿宋_GB2312" w:cs="仿宋_GB2312"/>
        </w:rPr>
      </w:pPr>
      <w:r>
        <w:rPr>
          <w:rFonts w:hint="eastAsia" w:ascii="仿宋_GB2312" w:hAnsi="仿宋_GB2312" w:eastAsia="仿宋_GB2312" w:cs="仿宋_GB2312"/>
          <w:szCs w:val="40"/>
        </w:rPr>
        <w:t>邱向</w:t>
      </w:r>
      <w:r>
        <w:rPr>
          <w:rFonts w:hint="eastAsia" w:ascii="仿宋_GB2312" w:hAnsi="仿宋_GB2312" w:eastAsia="仿宋_GB2312" w:cs="仿宋_GB2312"/>
          <w:szCs w:val="40"/>
          <w:lang w:eastAsia="zh-CN"/>
        </w:rPr>
        <w:t>谊</w:t>
      </w:r>
      <w:r>
        <w:rPr>
          <w:rFonts w:hint="eastAsia" w:ascii="仿宋_GB2312" w:hAnsi="仿宋_GB2312" w:eastAsia="仿宋_GB2312" w:cs="仿宋_GB2312"/>
          <w:szCs w:val="40"/>
        </w:rPr>
        <w:t xml:space="preserve">    宁远县人力资源和社会保障局党组书记、局长</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黑体" w:hAnsi="黑体" w:eastAsia="黑体" w:cs="黑体"/>
          <w:szCs w:val="40"/>
        </w:rPr>
      </w:pPr>
      <w:r>
        <w:rPr>
          <w:rFonts w:hint="eastAsia" w:ascii="黑体" w:hAnsi="黑体" w:eastAsia="黑体" w:cs="黑体"/>
          <w:szCs w:val="40"/>
        </w:rPr>
        <w:t>副主任</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szCs w:val="40"/>
        </w:rPr>
      </w:pPr>
      <w:r>
        <w:rPr>
          <w:rFonts w:hint="eastAsia" w:ascii="仿宋_GB2312" w:hAnsi="仿宋_GB2312" w:eastAsia="仿宋_GB2312" w:cs="仿宋_GB2312"/>
          <w:szCs w:val="40"/>
        </w:rPr>
        <w:t>黄祥云    宁远县人力资源和社会保障局副局长</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szCs w:val="40"/>
        </w:rPr>
      </w:pPr>
      <w:r>
        <w:rPr>
          <w:rFonts w:hint="eastAsia" w:ascii="仿宋_GB2312" w:hAnsi="仿宋_GB2312" w:eastAsia="仿宋_GB2312" w:cs="仿宋_GB2312"/>
          <w:szCs w:val="40"/>
        </w:rPr>
        <w:t>谢先成    宁远县财政局副局长</w:t>
      </w:r>
    </w:p>
    <w:p>
      <w:pPr>
        <w:pStyle w:val="9"/>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hint="default"/>
          <w:lang w:val="en-US" w:eastAsia="zh-CN"/>
        </w:rPr>
      </w:pPr>
      <w:r>
        <w:rPr>
          <w:rFonts w:hint="eastAsia"/>
          <w:lang w:eastAsia="zh-CN"/>
        </w:rPr>
        <w:t>蔡海丰</w:t>
      </w:r>
      <w:r>
        <w:rPr>
          <w:rFonts w:hint="eastAsia"/>
          <w:lang w:val="en-US" w:eastAsia="zh-CN"/>
        </w:rPr>
        <w:t xml:space="preserve">    宁远县高新区管委会副主任</w:t>
      </w:r>
    </w:p>
    <w:p>
      <w:pPr>
        <w:pStyle w:val="9"/>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hint="eastAsia" w:eastAsia="仿宋_GB2312"/>
          <w:lang w:eastAsia="zh-CN"/>
        </w:rPr>
      </w:pPr>
      <w:r>
        <w:rPr>
          <w:rFonts w:hint="eastAsia"/>
          <w:lang w:eastAsia="zh-CN"/>
        </w:rPr>
        <w:t>肖</w:t>
      </w:r>
      <w:r>
        <w:rPr>
          <w:rFonts w:hint="eastAsia"/>
          <w:lang w:val="en-US" w:eastAsia="zh-CN"/>
        </w:rPr>
        <w:t xml:space="preserve">  哲</w:t>
      </w:r>
      <w:r>
        <w:rPr>
          <w:rFonts w:hint="eastAsia"/>
        </w:rPr>
        <w:t xml:space="preserve">    宁远县科工局</w:t>
      </w:r>
      <w:r>
        <w:rPr>
          <w:rFonts w:hint="eastAsia"/>
          <w:lang w:eastAsia="zh-CN"/>
        </w:rPr>
        <w:t>副局长</w:t>
      </w:r>
    </w:p>
    <w:p>
      <w:pPr>
        <w:pStyle w:val="9"/>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hint="eastAsia" w:eastAsia="仿宋_GB2312"/>
          <w:lang w:eastAsia="zh-CN"/>
        </w:rPr>
      </w:pPr>
      <w:r>
        <w:rPr>
          <w:rFonts w:hint="eastAsia"/>
        </w:rPr>
        <w:t>宋长青    宁远县总工会</w:t>
      </w:r>
      <w:r>
        <w:rPr>
          <w:rFonts w:hint="eastAsia"/>
          <w:lang w:eastAsia="zh-CN"/>
        </w:rPr>
        <w:t>副主席</w:t>
      </w:r>
    </w:p>
    <w:p>
      <w:pPr>
        <w:pStyle w:val="9"/>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ascii="仿宋_GB2312" w:hAnsi="仿宋_GB2312" w:cs="仿宋_GB2312"/>
          <w:szCs w:val="40"/>
          <w:highlight w:val="yellow"/>
        </w:rPr>
      </w:pPr>
      <w:r>
        <w:rPr>
          <w:rFonts w:hint="eastAsia"/>
        </w:rPr>
        <w:t>何金涛    宁远县乡村振兴局副局长</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rPr>
          <w:rFonts w:eastAsia="仿宋_GB2312"/>
        </w:rPr>
      </w:pPr>
      <w:r>
        <w:rPr>
          <w:rFonts w:hint="eastAsia" w:eastAsia="仿宋_GB2312"/>
        </w:rPr>
        <w:t>盘玲珠    宁远县团县委副书记</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rPr>
      </w:pPr>
      <w:r>
        <w:rPr>
          <w:rFonts w:hint="eastAsia" w:ascii="仿宋_GB2312" w:hAnsi="仿宋_GB2312" w:eastAsia="仿宋_GB2312" w:cs="仿宋_GB2312"/>
        </w:rPr>
        <w:t>蒋胜斌</w:t>
      </w:r>
      <w:r>
        <w:rPr>
          <w:rFonts w:hint="eastAsia" w:ascii="仿宋_GB2312" w:hAnsi="仿宋_GB2312" w:eastAsia="仿宋_GB2312" w:cs="仿宋_GB2312"/>
          <w:szCs w:val="40"/>
        </w:rPr>
        <w:t xml:space="preserve">    </w:t>
      </w:r>
      <w:r>
        <w:rPr>
          <w:rFonts w:hint="eastAsia" w:ascii="仿宋_GB2312" w:hAnsi="仿宋_GB2312" w:eastAsia="仿宋_GB2312" w:cs="仿宋_GB2312"/>
        </w:rPr>
        <w:t>宁远县就业服务中心主任</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rPr>
          <w:rFonts w:ascii="黑体" w:hAnsi="黑体" w:eastAsia="黑体" w:cs="黑体"/>
        </w:rPr>
      </w:pPr>
      <w:r>
        <w:rPr>
          <w:rFonts w:hint="eastAsia" w:ascii="黑体" w:hAnsi="黑体" w:eastAsia="黑体" w:cs="黑体"/>
        </w:rPr>
        <w:t>委  员</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rPr>
      </w:pPr>
      <w:r>
        <w:rPr>
          <w:rFonts w:hint="eastAsia" w:ascii="仿宋_GB2312" w:hAnsi="仿宋_GB2312" w:eastAsia="仿宋_GB2312" w:cs="仿宋_GB2312"/>
        </w:rPr>
        <w:t>骆有建</w:t>
      </w:r>
      <w:r>
        <w:rPr>
          <w:rFonts w:hint="eastAsia" w:ascii="仿宋_GB2312" w:hAnsi="仿宋_GB2312" w:eastAsia="仿宋_GB2312" w:cs="仿宋_GB2312"/>
          <w:szCs w:val="40"/>
        </w:rPr>
        <w:t xml:space="preserve">    </w:t>
      </w:r>
      <w:r>
        <w:rPr>
          <w:rFonts w:hint="eastAsia" w:ascii="仿宋_GB2312" w:hAnsi="仿宋_GB2312" w:eastAsia="仿宋_GB2312" w:cs="仿宋_GB2312"/>
        </w:rPr>
        <w:t>宁远县财政局社保股股长</w:t>
      </w:r>
    </w:p>
    <w:p>
      <w:pPr>
        <w:pStyle w:val="2"/>
        <w:keepNext w:val="0"/>
        <w:keepLines w:val="0"/>
        <w:pageBreakBefore w:val="0"/>
        <w:widowControl w:val="0"/>
        <w:kinsoku/>
        <w:wordWrap/>
        <w:overflowPunct/>
        <w:topLinePunct w:val="0"/>
        <w:autoSpaceDE/>
        <w:autoSpaceDN/>
        <w:bidi w:val="0"/>
        <w:adjustRightInd/>
        <w:snapToGrid/>
        <w:spacing w:line="450" w:lineRule="exact"/>
        <w:ind w:left="1575" w:hanging="1580" w:hangingChars="500"/>
        <w:textAlignment w:val="auto"/>
        <w:rPr>
          <w:rFonts w:ascii="仿宋_GB2312" w:hAnsi="仿宋_GB2312" w:eastAsia="仿宋_GB2312" w:cs="仿宋_GB2312"/>
        </w:rPr>
      </w:pPr>
      <w:r>
        <w:rPr>
          <w:rFonts w:hint="eastAsia" w:ascii="仿宋_GB2312" w:hAnsi="仿宋_GB2312" w:eastAsia="仿宋_GB2312" w:cs="仿宋_GB2312"/>
        </w:rPr>
        <w:t>张  林</w:t>
      </w:r>
      <w:r>
        <w:rPr>
          <w:rFonts w:hint="eastAsia" w:ascii="仿宋_GB2312" w:hAnsi="仿宋_GB2312" w:eastAsia="仿宋_GB2312" w:cs="仿宋_GB2312"/>
          <w:szCs w:val="40"/>
        </w:rPr>
        <w:t xml:space="preserve">    </w:t>
      </w:r>
      <w:r>
        <w:rPr>
          <w:rFonts w:hint="eastAsia" w:ascii="仿宋_GB2312" w:hAnsi="仿宋_GB2312" w:eastAsia="仿宋_GB2312" w:cs="仿宋_GB2312"/>
        </w:rPr>
        <w:t>宁远县人力资源和社会保障局就业促进与失业保险股股长、就业服务中心副主任</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pPr>
      <w:r>
        <w:rPr>
          <w:rFonts w:hint="eastAsia" w:ascii="仿宋_GB2312" w:hAnsi="仿宋_GB2312" w:eastAsia="仿宋_GB2312" w:cs="仿宋_GB2312"/>
        </w:rPr>
        <w:t xml:space="preserve">陈海斌    宁远县财政局社保股副股长 </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szCs w:val="40"/>
        </w:rPr>
      </w:pPr>
      <w:r>
        <w:rPr>
          <w:rFonts w:hint="eastAsia" w:ascii="仿宋_GB2312" w:hAnsi="仿宋_GB2312" w:eastAsia="仿宋_GB2312" w:cs="仿宋_GB2312"/>
        </w:rPr>
        <w:t>孙湘宁</w:t>
      </w:r>
      <w:r>
        <w:rPr>
          <w:rFonts w:hint="eastAsia" w:ascii="仿宋_GB2312" w:hAnsi="仿宋_GB2312" w:eastAsia="仿宋_GB2312" w:cs="仿宋_GB2312"/>
          <w:szCs w:val="40"/>
        </w:rPr>
        <w:t xml:space="preserve">    宁远县人力资源和社会保障局职建股股长</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仿宋_GB2312" w:hAnsi="仿宋_GB2312" w:eastAsia="仿宋_GB2312" w:cs="仿宋_GB2312"/>
        </w:rPr>
      </w:pPr>
      <w:r>
        <w:rPr>
          <w:rFonts w:hint="eastAsia" w:ascii="仿宋_GB2312" w:hAnsi="仿宋_GB2312" w:eastAsia="仿宋_GB2312" w:cs="仿宋_GB2312"/>
        </w:rPr>
        <w:t>胡  勤    宁远县就业服务中心就业服务培训中心副主任</w:t>
      </w:r>
    </w:p>
    <w:p>
      <w:pPr>
        <w:pStyle w:val="2"/>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rPr>
      </w:pPr>
      <w:r>
        <w:rPr>
          <w:rFonts w:hint="eastAsia" w:ascii="仿宋_GB2312" w:hAnsi="仿宋_GB2312" w:eastAsia="仿宋_GB2312" w:cs="仿宋_GB2312"/>
        </w:rPr>
        <w:t>郑海辉    宁远县就业服务中心就业服务培训中心副主任</w:t>
      </w:r>
    </w:p>
    <w:p>
      <w:pPr>
        <w:pStyle w:val="9"/>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pPr>
      <w:r>
        <w:rPr>
          <w:rFonts w:hint="eastAsia" w:ascii="仿宋_GB2312" w:hAnsi="仿宋_GB2312" w:cs="仿宋_GB2312"/>
        </w:rPr>
        <w:t xml:space="preserve">唐志颖    宁远县创业孵化基地国家级众创空间负责人 </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黑体" w:hAnsi="黑体" w:eastAsia="黑体" w:cs="黑体"/>
          <w:szCs w:val="40"/>
        </w:rPr>
      </w:pPr>
      <w:r>
        <w:rPr>
          <w:rFonts w:hint="eastAsia" w:ascii="黑体" w:hAnsi="黑体" w:eastAsia="黑体" w:cs="黑体"/>
          <w:szCs w:val="40"/>
        </w:rPr>
        <w:t>办公室</w:t>
      </w:r>
    </w:p>
    <w:p>
      <w:pPr>
        <w:keepNext w:val="0"/>
        <w:keepLines w:val="0"/>
        <w:pageBreakBefore w:val="0"/>
        <w:widowControl w:val="0"/>
        <w:kinsoku/>
        <w:wordWrap/>
        <w:overflowPunct/>
        <w:topLinePunct w:val="0"/>
        <w:autoSpaceDE/>
        <w:autoSpaceDN/>
        <w:bidi w:val="0"/>
        <w:adjustRightInd/>
        <w:snapToGrid/>
        <w:spacing w:line="450" w:lineRule="exact"/>
        <w:ind w:left="1260" w:hanging="1264" w:hangingChars="400"/>
        <w:textAlignment w:val="auto"/>
        <w:rPr>
          <w:rFonts w:ascii="仿宋_GB2312" w:hAnsi="仿宋_GB2312" w:eastAsia="仿宋_GB2312" w:cs="仿宋_GB2312"/>
          <w:szCs w:val="40"/>
        </w:rPr>
      </w:pPr>
      <w:r>
        <w:rPr>
          <w:rFonts w:hint="eastAsia" w:ascii="仿宋_GB2312" w:hAnsi="仿宋_GB2312" w:eastAsia="仿宋_GB2312" w:cs="仿宋_GB2312"/>
          <w:szCs w:val="40"/>
        </w:rPr>
        <w:t>主  任</w:t>
      </w:r>
      <w:r>
        <w:rPr>
          <w:rFonts w:hint="eastAsia" w:ascii="仿宋_GB2312" w:hAnsi="仿宋_GB2312" w:eastAsia="仿宋_GB2312" w:cs="仿宋_GB2312"/>
          <w:szCs w:val="40"/>
        </w:rPr>
        <w:tab/>
      </w:r>
      <w:r>
        <w:rPr>
          <w:rFonts w:hint="eastAsia" w:ascii="仿宋_GB2312" w:hAnsi="仿宋_GB2312" w:eastAsia="仿宋_GB2312" w:cs="仿宋_GB2312"/>
          <w:szCs w:val="40"/>
        </w:rPr>
        <w:t xml:space="preserve">   张  林 (兼）</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szCs w:val="40"/>
        </w:rPr>
      </w:pPr>
      <w:r>
        <w:rPr>
          <w:rFonts w:hint="eastAsia" w:ascii="仿宋_GB2312" w:hAnsi="仿宋_GB2312" w:eastAsia="仿宋_GB2312" w:cs="仿宋_GB2312"/>
          <w:szCs w:val="40"/>
        </w:rPr>
        <w:t>副主任</w:t>
      </w:r>
      <w:r>
        <w:rPr>
          <w:rFonts w:hint="eastAsia" w:ascii="仿宋_GB2312" w:hAnsi="仿宋_GB2312" w:eastAsia="仿宋_GB2312" w:cs="仿宋_GB2312"/>
          <w:szCs w:val="40"/>
        </w:rPr>
        <w:tab/>
      </w:r>
      <w:r>
        <w:rPr>
          <w:rFonts w:hint="eastAsia" w:ascii="仿宋_GB2312" w:hAnsi="仿宋_GB2312" w:eastAsia="仿宋_GB2312" w:cs="仿宋_GB2312"/>
          <w:szCs w:val="40"/>
        </w:rPr>
        <w:tab/>
      </w:r>
      <w:r>
        <w:rPr>
          <w:rFonts w:hint="eastAsia" w:ascii="仿宋_GB2312" w:hAnsi="仿宋_GB2312" w:eastAsia="仿宋_GB2312" w:cs="仿宋_GB2312"/>
          <w:szCs w:val="40"/>
        </w:rPr>
        <w:t xml:space="preserve">雷永辉  胡  勤  </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ascii="仿宋_GB2312" w:hAnsi="仿宋_GB2312" w:eastAsia="仿宋_GB2312" w:cs="仿宋_GB2312"/>
          <w:szCs w:val="40"/>
        </w:rPr>
      </w:pPr>
      <w:r>
        <w:rPr>
          <w:rFonts w:hint="eastAsia" w:ascii="仿宋_GB2312" w:hAnsi="仿宋_GB2312" w:eastAsia="仿宋_GB2312" w:cs="仿宋_GB2312"/>
          <w:szCs w:val="40"/>
        </w:rPr>
        <w:t>成  员</w:t>
      </w:r>
      <w:r>
        <w:rPr>
          <w:rFonts w:hint="eastAsia" w:ascii="仿宋_GB2312" w:hAnsi="仿宋_GB2312" w:eastAsia="仿宋_GB2312" w:cs="仿宋_GB2312"/>
          <w:szCs w:val="40"/>
        </w:rPr>
        <w:tab/>
      </w:r>
      <w:r>
        <w:rPr>
          <w:rFonts w:hint="eastAsia" w:ascii="仿宋_GB2312" w:hAnsi="仿宋_GB2312" w:eastAsia="仿宋_GB2312" w:cs="仿宋_GB2312"/>
          <w:szCs w:val="40"/>
        </w:rPr>
        <w:tab/>
      </w:r>
      <w:r>
        <w:rPr>
          <w:rFonts w:hint="eastAsia" w:ascii="仿宋_GB2312" w:hAnsi="仿宋_GB2312" w:eastAsia="仿宋_GB2312" w:cs="仿宋_GB2312"/>
          <w:szCs w:val="40"/>
        </w:rPr>
        <w:t>李永源  蒋仕和</w:t>
      </w:r>
    </w:p>
    <w:p>
      <w:pPr>
        <w:widowControl/>
        <w:spacing w:line="560" w:lineRule="exact"/>
        <w:jc w:val="left"/>
        <w:rPr>
          <w:rFonts w:ascii="仿宋_GB2312" w:hAnsi="仿宋_GB2312" w:eastAsia="仿宋_GB2312" w:cs="仿宋_GB2312"/>
          <w:szCs w:val="40"/>
        </w:rPr>
      </w:pPr>
      <w:r>
        <w:rPr>
          <w:rFonts w:hint="eastAsia" w:ascii="仿宋_GB2312" w:hAnsi="仿宋_GB2312" w:eastAsia="仿宋_GB2312" w:cs="仿宋_GB2312"/>
          <w:szCs w:val="40"/>
        </w:rPr>
        <w:br w:type="page"/>
      </w:r>
    </w:p>
    <w:p>
      <w:pPr>
        <w:pStyle w:val="2"/>
        <w:spacing w:line="560" w:lineRule="exact"/>
        <w:rPr>
          <w:rFonts w:ascii="黑体" w:hAnsi="黑体" w:eastAsia="黑体" w:cs="黑体"/>
          <w:szCs w:val="40"/>
        </w:rPr>
      </w:pPr>
      <w:r>
        <w:rPr>
          <w:rFonts w:hint="eastAsia" w:ascii="黑体" w:hAnsi="黑体" w:eastAsia="黑体" w:cs="黑体"/>
          <w:szCs w:val="40"/>
        </w:rPr>
        <w:t>附件2</w:t>
      </w:r>
    </w:p>
    <w:p>
      <w:pPr>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县市区推荐参赛项目名额分配表</w:t>
      </w:r>
    </w:p>
    <w:tbl>
      <w:tblPr>
        <w:tblStyle w:val="10"/>
        <w:tblpPr w:leftFromText="180" w:rightFromText="180" w:vertAnchor="text" w:horzAnchor="page" w:tblpXSpec="center" w:tblpY="304"/>
        <w:tblOverlap w:val="never"/>
        <w:tblW w:w="8400" w:type="dxa"/>
        <w:jc w:val="center"/>
        <w:tblLayout w:type="fixed"/>
        <w:tblCellMar>
          <w:top w:w="0" w:type="dxa"/>
          <w:left w:w="108" w:type="dxa"/>
          <w:bottom w:w="0" w:type="dxa"/>
          <w:right w:w="108" w:type="dxa"/>
        </w:tblCellMar>
      </w:tblPr>
      <w:tblGrid>
        <w:gridCol w:w="1631"/>
        <w:gridCol w:w="936"/>
        <w:gridCol w:w="1058"/>
        <w:gridCol w:w="1237"/>
        <w:gridCol w:w="1225"/>
        <w:gridCol w:w="1263"/>
        <w:gridCol w:w="1050"/>
      </w:tblGrid>
      <w:tr>
        <w:tblPrEx>
          <w:tblCellMar>
            <w:top w:w="0" w:type="dxa"/>
            <w:left w:w="108" w:type="dxa"/>
            <w:bottom w:w="0" w:type="dxa"/>
            <w:right w:w="108" w:type="dxa"/>
          </w:tblCellMar>
        </w:tblPrEx>
        <w:trPr>
          <w:trHeight w:val="487" w:hRule="atLeast"/>
          <w:jc w:val="center"/>
        </w:trPr>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市  州</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主体赛</w:t>
            </w:r>
          </w:p>
        </w:tc>
        <w:tc>
          <w:tcPr>
            <w:tcW w:w="37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专项赛</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小 计</w:t>
            </w:r>
          </w:p>
        </w:tc>
      </w:tr>
      <w:tr>
        <w:tblPrEx>
          <w:tblCellMar>
            <w:top w:w="0" w:type="dxa"/>
            <w:left w:w="108" w:type="dxa"/>
            <w:bottom w:w="0" w:type="dxa"/>
            <w:right w:w="108" w:type="dxa"/>
          </w:tblCellMar>
        </w:tblPrEx>
        <w:trPr>
          <w:trHeight w:val="611" w:hRule="atLeast"/>
          <w:jc w:val="center"/>
        </w:trPr>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制造业</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服务业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青年创意</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劳务品牌</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rPr>
              <w:t>乡村振兴</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746"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冷水滩区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sz w:val="24"/>
                <w:szCs w:val="24"/>
              </w:rPr>
              <w:t>2</w:t>
            </w:r>
          </w:p>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sz w:val="24"/>
                <w:szCs w:val="24"/>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7</w:t>
            </w:r>
          </w:p>
        </w:tc>
      </w:tr>
      <w:tr>
        <w:tblPrEx>
          <w:tblCellMar>
            <w:top w:w="0" w:type="dxa"/>
            <w:left w:w="108" w:type="dxa"/>
            <w:bottom w:w="0" w:type="dxa"/>
            <w:right w:w="108" w:type="dxa"/>
          </w:tblCellMar>
        </w:tblPrEx>
        <w:trPr>
          <w:trHeight w:val="621"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零陵区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7</w:t>
            </w:r>
          </w:p>
        </w:tc>
      </w:tr>
      <w:tr>
        <w:tblPrEx>
          <w:tblCellMar>
            <w:top w:w="0" w:type="dxa"/>
            <w:left w:w="108" w:type="dxa"/>
            <w:bottom w:w="0" w:type="dxa"/>
            <w:right w:w="108" w:type="dxa"/>
          </w:tblCellMar>
        </w:tblPrEx>
        <w:trPr>
          <w:trHeight w:val="466"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祁阳市</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7</w:t>
            </w:r>
          </w:p>
        </w:tc>
      </w:tr>
      <w:tr>
        <w:tblPrEx>
          <w:tblCellMar>
            <w:top w:w="0" w:type="dxa"/>
            <w:left w:w="108" w:type="dxa"/>
            <w:bottom w:w="0" w:type="dxa"/>
            <w:right w:w="108" w:type="dxa"/>
          </w:tblCellMar>
        </w:tblPrEx>
        <w:trPr>
          <w:trHeight w:val="596"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东安县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r>
              <w:rPr>
                <w:rFonts w:hint="eastAsia" w:ascii="Times New Roman" w:hAnsi="Times New Roman" w:eastAsia="等线" w:cs="Times New Roman"/>
                <w:color w:val="000000"/>
                <w:kern w:val="0"/>
                <w:sz w:val="24"/>
                <w:szCs w:val="24"/>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71"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 xml:space="preserve">道 </w:t>
            </w:r>
            <w:r>
              <w:rPr>
                <w:rFonts w:ascii="仿宋_GB2312" w:hAnsi="等线" w:eastAsia="仿宋_GB2312" w:cs="仿宋_GB2312"/>
                <w:color w:val="000000"/>
                <w:sz w:val="22"/>
                <w:szCs w:val="22"/>
              </w:rPr>
              <w:t xml:space="preserve"> </w:t>
            </w:r>
            <w:r>
              <w:rPr>
                <w:rFonts w:hint="eastAsia" w:ascii="仿宋_GB2312" w:hAnsi="等线" w:eastAsia="仿宋_GB2312" w:cs="仿宋_GB2312"/>
                <w:color w:val="000000"/>
                <w:sz w:val="22"/>
                <w:szCs w:val="22"/>
              </w:rPr>
              <w:t>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01"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双牌县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tcPr>
          <w:p>
            <w:pPr>
              <w:jc w:val="center"/>
            </w:pPr>
            <w: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488"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江永县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13"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江华县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34"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宁远县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96"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新田县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84"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蓝山县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81"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回龙圩管理区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544"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金洞管理区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5</w:t>
            </w:r>
          </w:p>
        </w:tc>
      </w:tr>
      <w:tr>
        <w:tblPrEx>
          <w:tblCellMar>
            <w:top w:w="0" w:type="dxa"/>
            <w:left w:w="108" w:type="dxa"/>
            <w:bottom w:w="0" w:type="dxa"/>
            <w:right w:w="108" w:type="dxa"/>
          </w:tblCellMar>
        </w:tblPrEx>
        <w:trPr>
          <w:trHeight w:val="609"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市经开区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kern w:val="0"/>
                <w:sz w:val="24"/>
                <w:szCs w:val="24"/>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7</w:t>
            </w:r>
          </w:p>
        </w:tc>
      </w:tr>
      <w:tr>
        <w:tblPrEx>
          <w:tblCellMar>
            <w:top w:w="0" w:type="dxa"/>
            <w:left w:w="108" w:type="dxa"/>
            <w:bottom w:w="0" w:type="dxa"/>
            <w:right w:w="108" w:type="dxa"/>
          </w:tblCellMar>
        </w:tblPrEx>
        <w:trPr>
          <w:trHeight w:val="551"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湖南科技学院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2</w:t>
            </w:r>
          </w:p>
        </w:tc>
      </w:tr>
      <w:tr>
        <w:tblPrEx>
          <w:tblCellMar>
            <w:top w:w="0" w:type="dxa"/>
            <w:left w:w="108" w:type="dxa"/>
            <w:bottom w:w="0" w:type="dxa"/>
            <w:right w:w="108" w:type="dxa"/>
          </w:tblCellMar>
        </w:tblPrEx>
        <w:trPr>
          <w:trHeight w:val="569"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永州职业技术院学员学员雪雁</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2</w:t>
            </w:r>
          </w:p>
        </w:tc>
      </w:tr>
      <w:tr>
        <w:tblPrEx>
          <w:tblCellMar>
            <w:top w:w="0" w:type="dxa"/>
            <w:left w:w="108" w:type="dxa"/>
            <w:bottom w:w="0" w:type="dxa"/>
            <w:right w:w="108" w:type="dxa"/>
          </w:tblCellMar>
        </w:tblPrEx>
        <w:trPr>
          <w:trHeight w:val="609"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2"/>
                <w:szCs w:val="22"/>
              </w:rPr>
            </w:pPr>
            <w:r>
              <w:rPr>
                <w:rFonts w:hint="eastAsia" w:ascii="仿宋_GB2312" w:hAnsi="等线" w:eastAsia="仿宋_GB2312" w:cs="仿宋_GB2312"/>
                <w:color w:val="000000"/>
                <w:sz w:val="22"/>
                <w:szCs w:val="22"/>
              </w:rPr>
              <w:t>潇湘技师学院</w:t>
            </w:r>
          </w:p>
          <w:p>
            <w:pPr>
              <w:widowControl/>
              <w:jc w:val="center"/>
              <w:textAlignment w:val="center"/>
              <w:rPr>
                <w:rFonts w:ascii="仿宋_GB2312" w:hAnsi="等线" w:eastAsia="仿宋_GB2312" w:cs="仿宋_GB2312"/>
                <w:color w:val="000000"/>
                <w:sz w:val="22"/>
                <w:szCs w:val="22"/>
              </w:rPr>
            </w:pPr>
            <w:r>
              <w:rPr>
                <w:rFonts w:ascii="仿宋_GB2312" w:hAnsi="等线" w:eastAsia="仿宋_GB2312" w:cs="仿宋_GB2312"/>
                <w:color w:val="000000"/>
                <w:sz w:val="22"/>
                <w:szCs w:val="22"/>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0</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2</w:t>
            </w:r>
          </w:p>
        </w:tc>
      </w:tr>
      <w:tr>
        <w:tblPrEx>
          <w:tblCellMar>
            <w:top w:w="0" w:type="dxa"/>
            <w:left w:w="108" w:type="dxa"/>
            <w:bottom w:w="0" w:type="dxa"/>
            <w:right w:w="108" w:type="dxa"/>
          </w:tblCellMar>
        </w:tblPrEx>
        <w:trPr>
          <w:trHeight w:val="674" w:hRule="exact"/>
          <w:jc w:val="center"/>
        </w:trPr>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b/>
                <w:bCs/>
                <w:color w:val="000000"/>
                <w:sz w:val="24"/>
                <w:szCs w:val="24"/>
              </w:rPr>
            </w:pPr>
            <w:r>
              <w:rPr>
                <w:rFonts w:hint="eastAsia" w:ascii="仿宋_GB2312" w:hAnsi="等线" w:eastAsia="仿宋_GB2312" w:cs="仿宋_GB2312"/>
                <w:b/>
                <w:bCs/>
                <w:color w:val="000000"/>
                <w:kern w:val="0"/>
                <w:sz w:val="24"/>
                <w:szCs w:val="24"/>
              </w:rPr>
              <w:t>合　计</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1</w:t>
            </w:r>
            <w:r>
              <w:rPr>
                <w:rFonts w:ascii="Times New Roman" w:hAnsi="Times New Roman" w:eastAsia="等线" w:cs="Times New Roman"/>
                <w:color w:val="000000"/>
                <w:sz w:val="24"/>
                <w:szCs w:val="24"/>
              </w:rPr>
              <w:t>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1</w:t>
            </w:r>
            <w:r>
              <w:rPr>
                <w:rFonts w:ascii="Times New Roman" w:hAnsi="Times New Roman" w:eastAsia="等线" w:cs="Times New Roman"/>
                <w:color w:val="000000"/>
                <w:sz w:val="24"/>
                <w:szCs w:val="24"/>
              </w:rPr>
              <w:t>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sz w:val="24"/>
                <w:szCs w:val="24"/>
              </w:rPr>
              <w:t>20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1</w:t>
            </w:r>
            <w:r>
              <w:rPr>
                <w:rFonts w:ascii="Times New Roman" w:hAnsi="Times New Roman" w:eastAsia="等线" w:cs="Times New Roman"/>
                <w:color w:val="000000"/>
                <w:sz w:val="24"/>
                <w:szCs w:val="24"/>
              </w:rPr>
              <w:t>4</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sz w:val="24"/>
                <w:szCs w:val="24"/>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8</w:t>
            </w:r>
            <w:r>
              <w:rPr>
                <w:rFonts w:ascii="Times New Roman" w:hAnsi="Times New Roman" w:eastAsia="等线" w:cs="Times New Roman"/>
                <w:color w:val="000000"/>
                <w:sz w:val="24"/>
                <w:szCs w:val="24"/>
              </w:rPr>
              <w:t>4</w:t>
            </w:r>
          </w:p>
        </w:tc>
      </w:tr>
    </w:tbl>
    <w:p>
      <w:pPr>
        <w:pStyle w:val="2"/>
        <w:spacing w:line="560" w:lineRule="exac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附件3</w:t>
      </w:r>
    </w:p>
    <w:p>
      <w:pPr>
        <w:spacing w:line="560" w:lineRule="exact"/>
        <w:jc w:val="center"/>
        <w:rPr>
          <w:rFonts w:ascii="仿宋_GB2312" w:hAnsi="仿宋_GB2312" w:eastAsia="仿宋_GB2312" w:cs="仿宋_GB2312"/>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报名参赛项目需提交的材料清单</w:t>
      </w:r>
    </w:p>
    <w:p>
      <w:pPr>
        <w:pStyle w:val="2"/>
        <w:spacing w:line="560" w:lineRule="exact"/>
        <w:rPr>
          <w:rFonts w:ascii="仿宋_GB2312" w:hAnsi="仿宋_GB2312" w:eastAsia="仿宋_GB2312" w:cs="仿宋_GB2312"/>
        </w:rPr>
      </w:pP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报名参赛的项目需在省平台上传相关资料，具体信息如下：  </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1.项目名称（须与比赛时用名相同）</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2.项目所在地（注明注册地）</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3.项目所属领域（新材料新能源、装备制造、医疗健康、互联网TMT、文化创意、现代服务业、人工智能、现代农业、其他，共9类）</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4.项目介绍（300字以内，青年创意专项赛项目需填写目前进展情况）</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5.运营现状（200字以内，青年创意专项赛项目无需填写）</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6.团队介绍（150字以内）</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第一创始人信息：姓名、身份证号、照片、所属群体（高校学生含毕业生、技工院校学生含毕业生、留学归国人员、去产能转岗职工、退役军人、返乡农民工、残疾人、企事业单位科研或管理人员、其他共9类）、毕业院校（含在读院校）、最高学历、联系电话、电子邮箱，共7项信息</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8.两位联合创始人信息：同上</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9.商业计划书（PDF格式和PPT均可）</w:t>
      </w:r>
    </w:p>
    <w:p>
      <w:pPr>
        <w:numPr>
          <w:ilvl w:val="255"/>
          <w:numId w:val="0"/>
        </w:numPr>
        <w:spacing w:line="560" w:lineRule="exact"/>
        <w:ind w:firstLine="55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10.营业执照（青年创意专项赛项目不用传）</w:t>
      </w:r>
    </w:p>
    <w:p>
      <w:pPr>
        <w:numPr>
          <w:ilvl w:val="255"/>
          <w:numId w:val="0"/>
        </w:numPr>
        <w:spacing w:line="560" w:lineRule="exact"/>
        <w:ind w:firstLine="552" w:firstLineChars="200"/>
        <w:rPr>
          <w:rFonts w:ascii="仿宋_GB2312" w:hAnsi="仿宋_GB2312" w:eastAsia="仿宋_GB2312" w:cs="仿宋_GB2312"/>
          <w:sz w:val="28"/>
          <w:szCs w:val="28"/>
        </w:rPr>
        <w:sectPr>
          <w:footerReference r:id="rId5" w:type="first"/>
          <w:footerReference r:id="rId3" w:type="default"/>
          <w:footerReference r:id="rId4" w:type="even"/>
          <w:pgSz w:w="11906" w:h="16838"/>
          <w:pgMar w:top="1701" w:right="1701" w:bottom="1587" w:left="1701" w:header="851" w:footer="992" w:gutter="0"/>
          <w:cols w:space="0" w:num="1"/>
          <w:titlePg/>
          <w:rtlGutter w:val="0"/>
          <w:docGrid w:type="linesAndChars" w:linePitch="580" w:charSpace="-1024"/>
        </w:sectPr>
      </w:pPr>
      <w:r>
        <w:rPr>
          <w:rFonts w:hint="eastAsia" w:ascii="仿宋_GB2312" w:hAnsi="仿宋_GB2312" w:eastAsia="仿宋_GB2312" w:cs="仿宋_GB2312"/>
          <w:color w:val="000000" w:themeColor="text1"/>
          <w:sz w:val="28"/>
          <w:szCs w:val="28"/>
          <w14:textFill>
            <w14:solidFill>
              <w14:schemeClr w14:val="tx1"/>
            </w14:solidFill>
          </w14:textFill>
        </w:rPr>
        <w:t>11.专利和获奖材料</w:t>
      </w:r>
    </w:p>
    <w:p>
      <w:pPr>
        <w:pStyle w:val="2"/>
        <w:spacing w:line="560" w:lineRule="exact"/>
        <w:rPr>
          <w:rFonts w:ascii="黑体" w:hAnsi="黑体" w:eastAsia="黑体" w:cs="黑体"/>
          <w:color w:val="000000" w:themeColor="text1"/>
          <w:sz w:val="24"/>
          <w14:textFill>
            <w14:solidFill>
              <w14:schemeClr w14:val="tx1"/>
            </w14:solidFill>
          </w14:textFill>
        </w:rPr>
      </w:pPr>
      <w:r>
        <w:rPr>
          <w:rFonts w:hint="eastAsia" w:ascii="黑体" w:hAnsi="黑体" w:eastAsia="黑体" w:cs="黑体"/>
          <w:szCs w:val="40"/>
        </w:rPr>
        <w:t>附件4</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赛区参赛项目报名及资格审核情况统计表（第一创始人所属类型）</w:t>
      </w:r>
    </w:p>
    <w:tbl>
      <w:tblPr>
        <w:tblStyle w:val="11"/>
        <w:tblW w:w="14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1292"/>
        <w:gridCol w:w="1489"/>
        <w:gridCol w:w="1293"/>
        <w:gridCol w:w="1293"/>
        <w:gridCol w:w="1293"/>
        <w:gridCol w:w="1293"/>
        <w:gridCol w:w="1293"/>
        <w:gridCol w:w="1293"/>
        <w:gridCol w:w="102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1867" w:type="dxa"/>
            <w:vMerge w:val="restart"/>
            <w:tcBorders>
              <w:top w:val="single" w:color="auto" w:sz="4" w:space="0"/>
              <w:left w:val="single" w:color="auto" w:sz="4" w:space="0"/>
              <w:bottom w:val="single" w:color="auto" w:sz="4" w:space="0"/>
              <w:right w:val="single" w:color="auto" w:sz="4" w:space="0"/>
              <w:tl2br w:val="single" w:color="auto" w:sz="4" w:space="0"/>
            </w:tcBorders>
          </w:tcPr>
          <w:p>
            <w:pPr>
              <w:snapToGrid w:val="0"/>
              <w:rPr>
                <w:rFonts w:ascii="黑体" w:hAnsi="黑体" w:eastAsia="黑体" w:cs="黑体"/>
                <w:sz w:val="18"/>
                <w:szCs w:val="18"/>
              </w:rPr>
            </w:pPr>
            <w:r>
              <w:rPr>
                <w:rFonts w:hint="eastAsia" w:ascii="黑体" w:hAnsi="黑体" w:eastAsia="黑体" w:cs="黑体"/>
                <w:sz w:val="18"/>
                <w:szCs w:val="18"/>
              </w:rPr>
              <w:t xml:space="preserve"> </w:t>
            </w:r>
          </w:p>
          <w:p>
            <w:pPr>
              <w:snapToGrid w:val="0"/>
              <w:jc w:val="center"/>
              <w:rPr>
                <w:rFonts w:ascii="黑体" w:hAnsi="黑体" w:eastAsia="黑体" w:cs="黑体"/>
                <w:sz w:val="18"/>
                <w:szCs w:val="18"/>
              </w:rPr>
            </w:pPr>
            <w:r>
              <w:rPr>
                <w:rFonts w:hint="eastAsia" w:ascii="黑体" w:hAnsi="黑体" w:eastAsia="黑体" w:cs="黑体"/>
                <w:sz w:val="18"/>
                <w:szCs w:val="18"/>
              </w:rPr>
              <w:t xml:space="preserve"> </w:t>
            </w:r>
            <w:r>
              <w:rPr>
                <w:rFonts w:ascii="黑体" w:hAnsi="黑体" w:eastAsia="黑体" w:cs="黑体"/>
                <w:sz w:val="18"/>
                <w:szCs w:val="18"/>
              </w:rPr>
              <w:t xml:space="preserve">  </w:t>
            </w:r>
            <w:r>
              <w:rPr>
                <w:rFonts w:hint="eastAsia" w:ascii="黑体" w:hAnsi="黑体" w:eastAsia="黑体" w:cs="黑体"/>
                <w:sz w:val="18"/>
                <w:szCs w:val="18"/>
              </w:rPr>
              <w:t>类型</w:t>
            </w:r>
          </w:p>
          <w:p>
            <w:pPr>
              <w:snapToGrid w:val="0"/>
              <w:jc w:val="center"/>
              <w:rPr>
                <w:rFonts w:ascii="黑体" w:hAnsi="黑体" w:eastAsia="黑体" w:cs="黑体"/>
                <w:sz w:val="18"/>
                <w:szCs w:val="18"/>
              </w:rPr>
            </w:pPr>
          </w:p>
          <w:p>
            <w:pPr>
              <w:snapToGrid w:val="0"/>
              <w:rPr>
                <w:rFonts w:ascii="黑体" w:hAnsi="黑体" w:eastAsia="黑体" w:cs="黑体"/>
                <w:sz w:val="18"/>
                <w:szCs w:val="18"/>
              </w:rPr>
            </w:pPr>
            <w:r>
              <w:rPr>
                <w:rFonts w:hint="eastAsia" w:ascii="黑体" w:hAnsi="黑体" w:eastAsia="黑体" w:cs="黑体"/>
                <w:sz w:val="18"/>
                <w:szCs w:val="18"/>
              </w:rPr>
              <w:t>数量</w:t>
            </w:r>
          </w:p>
          <w:p>
            <w:pPr>
              <w:snapToGrid w:val="0"/>
              <w:jc w:val="center"/>
              <w:rPr>
                <w:rFonts w:ascii="黑体" w:hAnsi="黑体" w:eastAsia="黑体" w:cs="黑体"/>
                <w:sz w:val="18"/>
                <w:szCs w:val="18"/>
              </w:rPr>
            </w:pPr>
          </w:p>
          <w:p>
            <w:pPr>
              <w:snapToGrid w:val="0"/>
              <w:rPr>
                <w:rFonts w:ascii="黑体" w:hAnsi="黑体" w:eastAsia="黑体" w:cs="黑体"/>
                <w:sz w:val="18"/>
                <w:szCs w:val="18"/>
              </w:rPr>
            </w:pPr>
          </w:p>
        </w:tc>
        <w:tc>
          <w:tcPr>
            <w:tcW w:w="11563"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sz w:val="18"/>
                <w:szCs w:val="18"/>
              </w:rPr>
            </w:pPr>
            <w:r>
              <w:rPr>
                <w:rFonts w:hint="eastAsia" w:ascii="黑体" w:hAnsi="黑体" w:eastAsia="黑体" w:cs="黑体"/>
                <w:sz w:val="18"/>
                <w:szCs w:val="18"/>
              </w:rPr>
              <w:t>第一创始人所属类型</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sz w:val="18"/>
                <w:szCs w:val="18"/>
              </w:rPr>
            </w:pPr>
            <w:r>
              <w:rPr>
                <w:rFonts w:hint="eastAsia" w:ascii="黑体" w:hAnsi="黑体" w:eastAsia="黑体" w:cs="黑体"/>
                <w:sz w:val="18"/>
                <w:szCs w:val="18"/>
              </w:rPr>
              <w:t>合计</w:t>
            </w:r>
          </w:p>
          <w:p>
            <w:pPr>
              <w:spacing w:line="400" w:lineRule="exact"/>
              <w:jc w:val="center"/>
              <w:rPr>
                <w:rFonts w:ascii="黑体" w:hAnsi="黑体" w:eastAsia="黑体" w:cs="黑体"/>
                <w:sz w:val="18"/>
                <w:szCs w:val="18"/>
              </w:rPr>
            </w:pPr>
            <w:r>
              <w:rPr>
                <w:rFonts w:hint="eastAsia" w:ascii="黑体" w:hAnsi="黑体" w:eastAsia="黑体" w:cs="黑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sz w:val="18"/>
                <w:szCs w:val="18"/>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高校学生</w:t>
            </w:r>
          </w:p>
          <w:p>
            <w:pPr>
              <w:spacing w:line="300" w:lineRule="exact"/>
              <w:jc w:val="center"/>
              <w:rPr>
                <w:rFonts w:ascii="黑体" w:hAnsi="黑体" w:eastAsia="黑体" w:cs="黑体"/>
                <w:sz w:val="18"/>
                <w:szCs w:val="18"/>
              </w:rPr>
            </w:pPr>
            <w:r>
              <w:rPr>
                <w:rFonts w:hint="eastAsia" w:ascii="黑体" w:hAnsi="黑体" w:eastAsia="黑体" w:cs="黑体"/>
                <w:sz w:val="18"/>
                <w:szCs w:val="18"/>
              </w:rPr>
              <w:t>（含毕业生）</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技工院校学生（含毕业生）</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留学归国</w:t>
            </w:r>
          </w:p>
          <w:p>
            <w:pPr>
              <w:spacing w:line="300" w:lineRule="exact"/>
              <w:jc w:val="center"/>
              <w:rPr>
                <w:rFonts w:ascii="黑体" w:hAnsi="黑体" w:eastAsia="黑体" w:cs="黑体"/>
                <w:sz w:val="18"/>
                <w:szCs w:val="18"/>
              </w:rPr>
            </w:pPr>
            <w:r>
              <w:rPr>
                <w:rFonts w:hint="eastAsia" w:ascii="黑体" w:hAnsi="黑体" w:eastAsia="黑体" w:cs="黑体"/>
                <w:sz w:val="18"/>
                <w:szCs w:val="18"/>
              </w:rPr>
              <w:t>人员</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去产能转岗职工</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退役军人</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返乡农民工</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残疾人</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企事业单位科研或管理人员</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其他</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r>
              <w:rPr>
                <w:rFonts w:hint="eastAsia"/>
                <w:sz w:val="18"/>
                <w:szCs w:val="18"/>
              </w:rPr>
              <w:t>报名参赛项目第一创始人数量</w:t>
            </w:r>
          </w:p>
        </w:tc>
        <w:tc>
          <w:tcPr>
            <w:tcW w:w="1292"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489"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24"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r>
              <w:rPr>
                <w:rFonts w:hint="eastAsia"/>
                <w:sz w:val="18"/>
                <w:szCs w:val="18"/>
              </w:rPr>
              <w:t>报名且通过资格审核项目第一创始人数量</w:t>
            </w:r>
          </w:p>
        </w:tc>
        <w:tc>
          <w:tcPr>
            <w:tcW w:w="1292"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489"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24"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18"/>
                <w:szCs w:val="18"/>
              </w:rPr>
            </w:pPr>
            <w:r>
              <w:rPr>
                <w:rFonts w:hint="eastAsia"/>
                <w:sz w:val="18"/>
                <w:szCs w:val="18"/>
              </w:rPr>
              <w:t>0</w:t>
            </w:r>
          </w:p>
        </w:tc>
      </w:tr>
    </w:tbl>
    <w:p>
      <w:pPr>
        <w:jc w:val="center"/>
        <w:rPr>
          <w:rFonts w:ascii="方正小标宋简体" w:hAnsi="方正小标宋简体" w:eastAsia="方正小标宋简体" w:cs="方正小标宋简体"/>
          <w:sz w:val="36"/>
          <w:szCs w:val="36"/>
          <w:u w:val="single"/>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赛区参赛项目报名及资格审核情况统计表（所属领域）</w:t>
      </w:r>
    </w:p>
    <w:tbl>
      <w:tblPr>
        <w:tblStyle w:val="11"/>
        <w:tblW w:w="14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363"/>
        <w:gridCol w:w="1389"/>
        <w:gridCol w:w="1280"/>
        <w:gridCol w:w="1281"/>
        <w:gridCol w:w="1280"/>
        <w:gridCol w:w="1280"/>
        <w:gridCol w:w="1280"/>
        <w:gridCol w:w="1280"/>
        <w:gridCol w:w="101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67" w:type="dxa"/>
            <w:vMerge w:val="restart"/>
            <w:tcBorders>
              <w:top w:val="single" w:color="auto" w:sz="4" w:space="0"/>
              <w:left w:val="single" w:color="auto" w:sz="4" w:space="0"/>
              <w:bottom w:val="single" w:color="auto" w:sz="4" w:space="0"/>
              <w:right w:val="single" w:color="auto" w:sz="4" w:space="0"/>
              <w:tl2br w:val="single" w:color="auto" w:sz="4" w:space="0"/>
            </w:tcBorders>
          </w:tcPr>
          <w:p>
            <w:pPr>
              <w:spacing w:line="400" w:lineRule="exact"/>
              <w:ind w:firstLine="880" w:firstLineChars="500"/>
              <w:rPr>
                <w:rFonts w:ascii="黑体" w:hAnsi="黑体" w:eastAsia="黑体" w:cs="黑体"/>
                <w:sz w:val="18"/>
                <w:szCs w:val="18"/>
              </w:rPr>
            </w:pPr>
            <w:r>
              <w:rPr>
                <w:rFonts w:hint="eastAsia" w:ascii="黑体" w:hAnsi="黑体" w:eastAsia="黑体" w:cs="黑体"/>
                <w:sz w:val="18"/>
                <w:szCs w:val="18"/>
              </w:rPr>
              <w:t>所属领域</w:t>
            </w:r>
          </w:p>
          <w:p>
            <w:pPr>
              <w:spacing w:line="400" w:lineRule="exact"/>
              <w:rPr>
                <w:rFonts w:ascii="黑体" w:hAnsi="黑体" w:eastAsia="黑体" w:cs="黑体"/>
                <w:sz w:val="18"/>
                <w:szCs w:val="18"/>
              </w:rPr>
            </w:pPr>
            <w:r>
              <w:rPr>
                <w:rFonts w:hint="eastAsia" w:ascii="黑体" w:hAnsi="黑体" w:eastAsia="黑体" w:cs="黑体"/>
                <w:sz w:val="18"/>
                <w:szCs w:val="18"/>
              </w:rPr>
              <w:t>数量</w:t>
            </w:r>
          </w:p>
        </w:tc>
        <w:tc>
          <w:tcPr>
            <w:tcW w:w="11563"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黑体" w:hAnsi="黑体" w:eastAsia="黑体" w:cs="黑体"/>
                <w:sz w:val="18"/>
                <w:szCs w:val="18"/>
              </w:rPr>
            </w:pPr>
            <w:r>
              <w:rPr>
                <w:rFonts w:hint="eastAsia" w:ascii="黑体" w:hAnsi="黑体" w:eastAsia="黑体" w:cs="黑体"/>
                <w:sz w:val="18"/>
                <w:szCs w:val="18"/>
              </w:rPr>
              <w:t>参赛项目所属领域</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黑体"/>
                <w:sz w:val="18"/>
                <w:szCs w:val="18"/>
              </w:rPr>
            </w:pPr>
            <w:r>
              <w:rPr>
                <w:rFonts w:hint="eastAsia" w:ascii="黑体" w:hAnsi="黑体" w:eastAsia="黑体" w:cs="黑体"/>
                <w:sz w:val="18"/>
                <w:szCs w:val="18"/>
              </w:rPr>
              <w:t>合计</w:t>
            </w:r>
          </w:p>
          <w:p>
            <w:pPr>
              <w:spacing w:line="400" w:lineRule="exact"/>
              <w:jc w:val="center"/>
              <w:rPr>
                <w:rFonts w:ascii="黑体" w:hAnsi="黑体" w:eastAsia="黑体" w:cs="黑体"/>
                <w:sz w:val="18"/>
                <w:szCs w:val="18"/>
              </w:rPr>
            </w:pPr>
            <w:r>
              <w:rPr>
                <w:rFonts w:hint="eastAsia" w:ascii="黑体" w:hAnsi="黑体" w:eastAsia="黑体" w:cs="黑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新材料新能源</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装备制造</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医疗健康</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互联网TMT</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文化创意</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现代服务业</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人工智能</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现代农业</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18"/>
                <w:szCs w:val="18"/>
              </w:rPr>
            </w:pPr>
            <w:r>
              <w:rPr>
                <w:rFonts w:hint="eastAsia" w:ascii="黑体" w:hAnsi="黑体" w:eastAsia="黑体" w:cs="黑体"/>
                <w:sz w:val="18"/>
                <w:szCs w:val="18"/>
              </w:rPr>
              <w:t>其它</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r>
              <w:rPr>
                <w:rFonts w:hint="eastAsia"/>
                <w:sz w:val="18"/>
                <w:szCs w:val="18"/>
              </w:rPr>
              <w:t>各领域报名参赛项目数量</w:t>
            </w:r>
          </w:p>
        </w:tc>
        <w:tc>
          <w:tcPr>
            <w:tcW w:w="1377"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404"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24"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r>
              <w:rPr>
                <w:rFonts w:hint="eastAsia"/>
                <w:sz w:val="18"/>
                <w:szCs w:val="18"/>
              </w:rPr>
              <w:t>各领域报名且通过资格审项目数量</w:t>
            </w:r>
          </w:p>
        </w:tc>
        <w:tc>
          <w:tcPr>
            <w:tcW w:w="1377"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404"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293"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24" w:type="dxa"/>
            <w:tcBorders>
              <w:top w:val="single" w:color="auto" w:sz="4" w:space="0"/>
              <w:left w:val="single" w:color="auto" w:sz="4" w:space="0"/>
              <w:bottom w:val="single" w:color="auto" w:sz="4" w:space="0"/>
              <w:right w:val="single" w:color="auto" w:sz="4" w:space="0"/>
            </w:tcBorders>
          </w:tcPr>
          <w:p>
            <w:pPr>
              <w:spacing w:line="400" w:lineRule="exact"/>
              <w:rPr>
                <w:sz w:val="18"/>
                <w:szCs w:val="18"/>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18"/>
                <w:szCs w:val="18"/>
              </w:rPr>
            </w:pPr>
            <w:r>
              <w:rPr>
                <w:rFonts w:hint="eastAsia"/>
                <w:sz w:val="18"/>
                <w:szCs w:val="18"/>
              </w:rPr>
              <w:t>0</w:t>
            </w:r>
          </w:p>
        </w:tc>
      </w:tr>
    </w:tbl>
    <w:p>
      <w:pPr>
        <w:pStyle w:val="2"/>
        <w:spacing w:line="560" w:lineRule="exact"/>
        <w:rPr>
          <w:rFonts w:ascii="仿宋_GB2312" w:hAnsi="仿宋_GB2312" w:eastAsia="仿宋_GB2312" w:cs="仿宋_GB2312"/>
          <w:szCs w:val="40"/>
        </w:rPr>
      </w:pPr>
    </w:p>
    <w:p>
      <w:pPr>
        <w:pStyle w:val="2"/>
        <w:spacing w:line="560" w:lineRule="exact"/>
        <w:rPr>
          <w:rFonts w:ascii="黑体" w:hAnsi="黑体" w:eastAsia="黑体" w:cs="黑体"/>
          <w:szCs w:val="40"/>
        </w:rPr>
      </w:pPr>
      <w:r>
        <w:rPr>
          <w:rFonts w:hint="eastAsia" w:ascii="黑体" w:hAnsi="黑体" w:eastAsia="黑体" w:cs="黑体"/>
          <w:szCs w:val="40"/>
        </w:rPr>
        <w:t>附件5</w:t>
      </w:r>
    </w:p>
    <w:tbl>
      <w:tblPr>
        <w:tblStyle w:val="10"/>
        <w:tblpPr w:leftFromText="180" w:rightFromText="180" w:vertAnchor="text" w:horzAnchor="page" w:tblpX="1394" w:tblpY="618"/>
        <w:tblOverlap w:val="never"/>
        <w:tblW w:w="13917" w:type="dxa"/>
        <w:tblInd w:w="0" w:type="dxa"/>
        <w:tblLayout w:type="fixed"/>
        <w:tblCellMar>
          <w:top w:w="0" w:type="dxa"/>
          <w:left w:w="0" w:type="dxa"/>
          <w:bottom w:w="0" w:type="dxa"/>
          <w:right w:w="0" w:type="dxa"/>
        </w:tblCellMar>
      </w:tblPr>
      <w:tblGrid>
        <w:gridCol w:w="1917"/>
        <w:gridCol w:w="1133"/>
        <w:gridCol w:w="1167"/>
        <w:gridCol w:w="2067"/>
        <w:gridCol w:w="2450"/>
        <w:gridCol w:w="1300"/>
        <w:gridCol w:w="1200"/>
        <w:gridCol w:w="1300"/>
        <w:gridCol w:w="1383"/>
      </w:tblGrid>
      <w:tr>
        <w:tblPrEx>
          <w:tblCellMar>
            <w:top w:w="0" w:type="dxa"/>
            <w:left w:w="0" w:type="dxa"/>
            <w:bottom w:w="0" w:type="dxa"/>
            <w:right w:w="0" w:type="dxa"/>
          </w:tblCellMar>
        </w:tblPrEx>
        <w:trPr>
          <w:trHeight w:val="645" w:hRule="atLeast"/>
        </w:trPr>
        <w:tc>
          <w:tcPr>
            <w:tcW w:w="13917"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36"/>
                <w:szCs w:val="36"/>
              </w:rPr>
            </w:pPr>
            <w:r>
              <w:rPr>
                <w:rFonts w:hint="eastAsia" w:ascii="方正小标宋简体" w:hAnsi="方正小标宋简体" w:eastAsia="方正小标宋简体" w:cs="方正小标宋简体"/>
                <w:sz w:val="36"/>
                <w:szCs w:val="36"/>
              </w:rPr>
              <w:t>县市区推荐参赛项目清单</w:t>
            </w:r>
          </w:p>
        </w:tc>
      </w:tr>
      <w:tr>
        <w:tblPrEx>
          <w:tblCellMar>
            <w:top w:w="0" w:type="dxa"/>
            <w:left w:w="0" w:type="dxa"/>
            <w:bottom w:w="0" w:type="dxa"/>
            <w:right w:w="0" w:type="dxa"/>
          </w:tblCellMar>
        </w:tblPrEx>
        <w:trPr>
          <w:trHeight w:val="577" w:hRule="atLeast"/>
        </w:trPr>
        <w:tc>
          <w:tcPr>
            <w:tcW w:w="1917" w:type="dxa"/>
            <w:tcBorders>
              <w:top w:val="nil"/>
              <w:left w:val="nil"/>
              <w:bottom w:val="single" w:color="000000" w:sz="4" w:space="0"/>
              <w:right w:val="nil"/>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市州</w:t>
            </w:r>
          </w:p>
        </w:tc>
        <w:tc>
          <w:tcPr>
            <w:tcW w:w="1133" w:type="dxa"/>
            <w:tcBorders>
              <w:top w:val="nil"/>
              <w:left w:val="nil"/>
              <w:bottom w:val="single" w:color="000000" w:sz="4" w:space="0"/>
              <w:right w:val="nil"/>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______</w:t>
            </w:r>
          </w:p>
        </w:tc>
        <w:tc>
          <w:tcPr>
            <w:tcW w:w="1167"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p>
        </w:tc>
        <w:tc>
          <w:tcPr>
            <w:tcW w:w="2067"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仿宋_GB2312" w:hAnsi="仿宋_GB2312" w:eastAsia="仿宋_GB2312" w:cs="仿宋_GB2312"/>
                <w:b/>
                <w:color w:val="000000" w:themeColor="text1"/>
                <w:sz w:val="18"/>
                <w:szCs w:val="18"/>
                <w14:textFill>
                  <w14:solidFill>
                    <w14:schemeClr w14:val="tx1"/>
                  </w14:solidFill>
                </w14:textFill>
              </w:rPr>
            </w:pPr>
          </w:p>
        </w:tc>
        <w:tc>
          <w:tcPr>
            <w:tcW w:w="245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仿宋_GB2312" w:hAnsi="仿宋_GB2312" w:eastAsia="仿宋_GB2312" w:cs="仿宋_GB2312"/>
                <w:b/>
                <w:color w:val="000000" w:themeColor="text1"/>
                <w:sz w:val="18"/>
                <w:szCs w:val="18"/>
                <w14:textFill>
                  <w14:solidFill>
                    <w14:schemeClr w14:val="tx1"/>
                  </w14:solidFill>
                </w14:textFill>
              </w:rPr>
            </w:pPr>
          </w:p>
        </w:tc>
        <w:tc>
          <w:tcPr>
            <w:tcW w:w="130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仿宋_GB2312" w:hAnsi="仿宋_GB2312" w:eastAsia="仿宋_GB2312" w:cs="仿宋_GB2312"/>
                <w:b/>
                <w:color w:val="000000" w:themeColor="text1"/>
                <w:sz w:val="18"/>
                <w:szCs w:val="18"/>
                <w14:textFill>
                  <w14:solidFill>
                    <w14:schemeClr w14:val="tx1"/>
                  </w14:solidFill>
                </w14:textFill>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仿宋_GB2312" w:hAnsi="仿宋_GB2312" w:eastAsia="仿宋_GB2312" w:cs="仿宋_GB2312"/>
                <w:b/>
                <w:color w:val="000000" w:themeColor="text1"/>
                <w:sz w:val="18"/>
                <w:szCs w:val="18"/>
                <w14:textFill>
                  <w14:solidFill>
                    <w14:schemeClr w14:val="tx1"/>
                  </w14:solidFill>
                </w14:textFill>
              </w:rPr>
            </w:pPr>
          </w:p>
        </w:tc>
        <w:tc>
          <w:tcPr>
            <w:tcW w:w="130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仿宋_GB2312" w:hAnsi="仿宋_GB2312" w:eastAsia="仿宋_GB2312" w:cs="仿宋_GB2312"/>
                <w:b/>
                <w:color w:val="000000" w:themeColor="text1"/>
                <w:sz w:val="18"/>
                <w:szCs w:val="18"/>
                <w14:textFill>
                  <w14:solidFill>
                    <w14:schemeClr w14:val="tx1"/>
                  </w14:solidFill>
                </w14:textFill>
              </w:rPr>
            </w:pPr>
          </w:p>
        </w:tc>
        <w:tc>
          <w:tcPr>
            <w:tcW w:w="1383"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仿宋_GB2312" w:hAnsi="仿宋_GB2312" w:eastAsia="仿宋_GB2312" w:cs="仿宋_GB2312"/>
                <w:b/>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755" w:hRule="atLeast"/>
        </w:trPr>
        <w:tc>
          <w:tcPr>
            <w:tcW w:w="191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Style w:val="25"/>
                <w:rFonts w:hint="default" w:ascii="仿宋_GB2312" w:hAnsi="仿宋_GB2312" w:eastAsia="仿宋_GB2312" w:cs="仿宋_GB2312"/>
                <w:color w:val="000000" w:themeColor="text1"/>
                <w:sz w:val="18"/>
                <w:szCs w:val="18"/>
                <w14:textFill>
                  <w14:solidFill>
                    <w14:schemeClr w14:val="tx1"/>
                  </w14:solidFill>
                </w14:textFill>
              </w:rPr>
            </w:pPr>
            <w:r>
              <w:rPr>
                <w:rStyle w:val="25"/>
                <w:rFonts w:hint="default" w:ascii="仿宋_GB2312" w:hAnsi="仿宋_GB2312" w:eastAsia="仿宋_GB2312" w:cs="仿宋_GB2312"/>
                <w:color w:val="000000" w:themeColor="text1"/>
                <w:sz w:val="18"/>
                <w:szCs w:val="18"/>
                <w14:textFill>
                  <w14:solidFill>
                    <w14:schemeClr w14:val="tx1"/>
                  </w14:solidFill>
                </w14:textFill>
              </w:rPr>
              <w:t>赛道</w:t>
            </w:r>
          </w:p>
        </w:tc>
        <w:tc>
          <w:tcPr>
            <w:tcW w:w="1133"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Style w:val="25"/>
                <w:rFonts w:hint="default" w:ascii="仿宋_GB2312" w:hAnsi="仿宋_GB2312" w:eastAsia="仿宋_GB2312" w:cs="仿宋_GB2312"/>
                <w:color w:val="000000" w:themeColor="text1"/>
                <w:sz w:val="18"/>
                <w:szCs w:val="18"/>
                <w14:textFill>
                  <w14:solidFill>
                    <w14:schemeClr w14:val="tx1"/>
                  </w14:solidFill>
                </w14:textFill>
              </w:rPr>
              <w:t>项目名称</w:t>
            </w:r>
            <w:r>
              <w:rPr>
                <w:rStyle w:val="24"/>
                <w:rFonts w:hint="default" w:ascii="仿宋_GB2312" w:hAnsi="仿宋_GB2312" w:eastAsia="仿宋_GB2312" w:cs="仿宋_GB2312"/>
                <w:color w:val="000000" w:themeColor="text1"/>
                <w:sz w:val="18"/>
                <w:szCs w:val="18"/>
                <w14:textFill>
                  <w14:solidFill>
                    <w14:schemeClr w14:val="tx1"/>
                  </w14:solidFill>
                </w14:textFill>
              </w:rPr>
              <w:t xml:space="preserve"> </w:t>
            </w:r>
          </w:p>
        </w:tc>
        <w:tc>
          <w:tcPr>
            <w:tcW w:w="11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团队/企业名称</w:t>
            </w:r>
          </w:p>
        </w:tc>
        <w:tc>
          <w:tcPr>
            <w:tcW w:w="20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所属领域</w:t>
            </w:r>
          </w:p>
        </w:tc>
        <w:tc>
          <w:tcPr>
            <w:tcW w:w="245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第一创始人所属群体</w:t>
            </w:r>
          </w:p>
        </w:tc>
        <w:tc>
          <w:tcPr>
            <w:tcW w:w="130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项目成员</w:t>
            </w:r>
          </w:p>
        </w:tc>
        <w:tc>
          <w:tcPr>
            <w:tcW w:w="120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姓  名</w:t>
            </w:r>
          </w:p>
        </w:tc>
        <w:tc>
          <w:tcPr>
            <w:tcW w:w="130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身份证号</w:t>
            </w:r>
          </w:p>
        </w:tc>
        <w:tc>
          <w:tcPr>
            <w:tcW w:w="1383"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联系方式</w:t>
            </w:r>
          </w:p>
        </w:tc>
      </w:tr>
      <w:tr>
        <w:tblPrEx>
          <w:tblCellMar>
            <w:top w:w="0" w:type="dxa"/>
            <w:left w:w="0" w:type="dxa"/>
            <w:bottom w:w="0" w:type="dxa"/>
            <w:right w:w="0" w:type="dxa"/>
          </w:tblCellMar>
        </w:tblPrEx>
        <w:trPr>
          <w:trHeight w:val="1144" w:hRule="exact"/>
        </w:trPr>
        <w:tc>
          <w:tcPr>
            <w:tcW w:w="1917"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r>
              <w:rPr>
                <w:rStyle w:val="26"/>
                <w:rFonts w:hint="default" w:ascii="仿宋_GB2312" w:hAnsi="仿宋_GB2312" w:eastAsia="仿宋_GB2312" w:cs="仿宋_GB2312"/>
                <w:color w:val="000000" w:themeColor="text1"/>
                <w:sz w:val="18"/>
                <w:szCs w:val="18"/>
                <w14:textFill>
                  <w14:solidFill>
                    <w14:schemeClr w14:val="tx1"/>
                  </w14:solidFill>
                </w14:textFill>
              </w:rPr>
              <w:t>□主体赛制造业项目组</w:t>
            </w:r>
            <w:r>
              <w:rPr>
                <w:rStyle w:val="27"/>
                <w:rFonts w:hint="default" w:ascii="仿宋_GB2312" w:hAnsi="仿宋_GB2312" w:eastAsia="仿宋_GB2312" w:cs="仿宋_GB2312"/>
                <w:color w:val="000000" w:themeColor="text1"/>
                <w:sz w:val="18"/>
                <w:szCs w:val="18"/>
                <w14:textFill>
                  <w14:solidFill>
                    <w14:schemeClr w14:val="tx1"/>
                  </w14:solidFill>
                </w14:textFill>
              </w:rPr>
              <w:t>、</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主体赛服务业项目组、</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青年创意专项赛、</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劳务品牌专项赛、</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乡村振兴专项赛</w:t>
            </w:r>
          </w:p>
        </w:tc>
        <w:tc>
          <w:tcPr>
            <w:tcW w:w="1133"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18"/>
                <w:szCs w:val="18"/>
                <w14:textFill>
                  <w14:solidFill>
                    <w14:schemeClr w14:val="tx1"/>
                  </w14:solidFill>
                </w14:textFill>
              </w:rPr>
            </w:pP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新材料新能源、</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装备制造、</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医疗健康、</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互联网TMT、</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文化创意、</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现代服务业、</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人工智能、</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现代农业、</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其他</w:t>
            </w:r>
          </w:p>
        </w:tc>
        <w:tc>
          <w:tcPr>
            <w:tcW w:w="2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18"/>
                <w:szCs w:val="18"/>
                <w14:textFill>
                  <w14:solidFill>
                    <w14:schemeClr w14:val="tx1"/>
                  </w14:solidFill>
                </w14:textFill>
              </w:rPr>
            </w:pP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高校学生（毕业生）、</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技工院校学生（毕业生）、</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留学归国人员、</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去产能转岗职工、</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复转军人、</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返乡农民工、</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残疾人、</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企事业单位科研（或管理）人员、</w:t>
            </w:r>
            <w:r>
              <w:rPr>
                <w:rStyle w:val="26"/>
                <w:rFonts w:hint="default" w:ascii="仿宋_GB2312" w:hAnsi="仿宋_GB2312" w:eastAsia="仿宋_GB2312" w:cs="仿宋_GB2312"/>
                <w:color w:val="000000" w:themeColor="text1"/>
                <w:sz w:val="18"/>
                <w:szCs w:val="18"/>
                <w14:textFill>
                  <w14:solidFill>
                    <w14:schemeClr w14:val="tx1"/>
                  </w14:solidFill>
                </w14:textFill>
              </w:rPr>
              <w:t>□</w:t>
            </w:r>
            <w:r>
              <w:rPr>
                <w:rStyle w:val="27"/>
                <w:rFonts w:hint="default" w:ascii="仿宋_GB2312" w:hAnsi="仿宋_GB2312" w:eastAsia="仿宋_GB2312" w:cs="仿宋_GB2312"/>
                <w:color w:val="000000" w:themeColor="text1"/>
                <w:sz w:val="18"/>
                <w:szCs w:val="18"/>
                <w14:textFill>
                  <w14:solidFill>
                    <w14:schemeClr w14:val="tx1"/>
                  </w14:solidFill>
                </w14:textFill>
              </w:rPr>
              <w:t>其他</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第一创始人</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c>
          <w:tcPr>
            <w:tcW w:w="13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c>
          <w:tcPr>
            <w:tcW w:w="1383" w:type="dxa"/>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333" w:hRule="exact"/>
        </w:trPr>
        <w:tc>
          <w:tcPr>
            <w:tcW w:w="1917"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1133"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18"/>
                <w:szCs w:val="18"/>
                <w14:textFill>
                  <w14:solidFill>
                    <w14:schemeClr w14:val="tx1"/>
                  </w14:solidFill>
                </w14:textFill>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18"/>
                <w:szCs w:val="18"/>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联合创始人</w:t>
            </w:r>
          </w:p>
        </w:tc>
        <w:tc>
          <w:tcPr>
            <w:tcW w:w="12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795" w:hRule="exact"/>
        </w:trPr>
        <w:tc>
          <w:tcPr>
            <w:tcW w:w="1917"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1133"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18"/>
                <w:szCs w:val="18"/>
                <w14:textFill>
                  <w14:solidFill>
                    <w14:schemeClr w14:val="tx1"/>
                  </w14:solidFill>
                </w14:textFill>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18"/>
                <w:szCs w:val="18"/>
                <w14:textFill>
                  <w14:solidFill>
                    <w14:schemeClr w14:val="tx1"/>
                  </w14:solidFill>
                </w14:textFill>
              </w:rPr>
            </w:pPr>
          </w:p>
        </w:tc>
        <w:tc>
          <w:tcPr>
            <w:tcW w:w="2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18"/>
                <w:szCs w:val="18"/>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联合创始人</w:t>
            </w:r>
          </w:p>
        </w:tc>
        <w:tc>
          <w:tcPr>
            <w:tcW w:w="12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spacing w:line="560" w:lineRule="exact"/>
              <w:rPr>
                <w:rFonts w:ascii="仿宋_GB2312" w:hAnsi="仿宋_GB2312" w:eastAsia="仿宋_GB2312" w:cs="仿宋_GB2312"/>
                <w:color w:val="000000" w:themeColor="text1"/>
                <w:sz w:val="18"/>
                <w:szCs w:val="18"/>
                <w14:textFill>
                  <w14:solidFill>
                    <w14:schemeClr w14:val="tx1"/>
                  </w14:solidFill>
                </w14:textFill>
              </w:rPr>
            </w:pPr>
          </w:p>
        </w:tc>
      </w:tr>
    </w:tbl>
    <w:p>
      <w:pPr>
        <w:spacing w:line="560" w:lineRule="exact"/>
        <w:rPr>
          <w:rFonts w:ascii="仿宋_GB2312" w:hAnsi="仿宋_GB2312" w:eastAsia="仿宋_GB2312" w:cs="仿宋_GB2312"/>
          <w:color w:val="000000" w:themeColor="text1"/>
          <w:sz w:val="30"/>
          <w:szCs w:val="30"/>
          <w14:textFill>
            <w14:solidFill>
              <w14:schemeClr w14:val="tx1"/>
            </w14:solidFill>
          </w14:textFill>
        </w:rPr>
        <w:sectPr>
          <w:pgSz w:w="16838" w:h="11906" w:orient="landscape"/>
          <w:pgMar w:top="1587" w:right="2098" w:bottom="1474" w:left="1984" w:header="851" w:footer="992" w:gutter="0"/>
          <w:cols w:space="0" w:num="1"/>
          <w:titlePg/>
          <w:docGrid w:type="linesAndChars" w:linePitch="580" w:charSpace="-1024"/>
        </w:sectPr>
      </w:pPr>
    </w:p>
    <w:p>
      <w:pPr>
        <w:pStyle w:val="2"/>
        <w:spacing w:line="520" w:lineRule="exact"/>
        <w:rPr>
          <w:rFonts w:ascii="黑体" w:hAnsi="黑体" w:eastAsia="黑体" w:cs="黑体"/>
          <w:szCs w:val="40"/>
        </w:rPr>
      </w:pPr>
      <w:bookmarkStart w:id="0" w:name="_Toc10342"/>
      <w:bookmarkStart w:id="1" w:name="_Toc10303"/>
      <w:r>
        <w:rPr>
          <w:rFonts w:hint="eastAsia" w:ascii="黑体" w:hAnsi="黑体" w:eastAsia="黑体" w:cs="黑体"/>
          <w:szCs w:val="40"/>
        </w:rPr>
        <w:t>附件</w:t>
      </w:r>
      <w:bookmarkEnd w:id="0"/>
      <w:bookmarkEnd w:id="1"/>
      <w:r>
        <w:rPr>
          <w:rFonts w:hint="eastAsia" w:ascii="黑体" w:hAnsi="黑体" w:eastAsia="黑体" w:cs="黑体"/>
          <w:szCs w:val="40"/>
        </w:rPr>
        <w:t>6</w:t>
      </w:r>
    </w:p>
    <w:p>
      <w:pPr>
        <w:spacing w:line="520" w:lineRule="exact"/>
        <w:jc w:val="center"/>
        <w:rPr>
          <w:rFonts w:ascii="方正小标宋简体" w:hAnsi="方正小标宋简体" w:eastAsia="方正小标宋简体" w:cs="方正小标宋简体"/>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主体赛制造业项目组评审标准</w:t>
      </w:r>
    </w:p>
    <w:p>
      <w:pPr>
        <w:spacing w:line="520" w:lineRule="exact"/>
        <w:ind w:firstLine="566" w:firstLineChars="200"/>
        <w:rPr>
          <w:rFonts w:ascii="仿宋_GB2312" w:hAnsi="仿宋_GB2312" w:eastAsia="仿宋_GB2312" w:cs="仿宋_GB2312"/>
          <w:color w:val="000000" w:themeColor="text1"/>
          <w:sz w:val="28"/>
          <w:szCs w:val="28"/>
          <w14:textFill>
            <w14:solidFill>
              <w14:schemeClr w14:val="tx1"/>
            </w14:solidFill>
          </w14:textFill>
        </w:rPr>
      </w:pPr>
    </w:p>
    <w:p>
      <w:pPr>
        <w:pStyle w:val="28"/>
        <w:spacing w:line="520" w:lineRule="exact"/>
        <w:ind w:firstLine="0" w:firstLineChars="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一、创新引领性（30分）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1.技术或产品具有原创性、突破性、创新性（10分）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2.技术或产品具有行业领先性或取得了专利等知识产权成果，对打造新兴产业链，推动传统产业高端化、智能化、绿色化具有示范性和引领性（10分）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3.运营和管理模式具有可行性、创新性和竞争优势（10分）</w:t>
      </w:r>
    </w:p>
    <w:p>
      <w:pPr>
        <w:pStyle w:val="28"/>
        <w:spacing w:line="520" w:lineRule="exact"/>
        <w:ind w:firstLine="0" w:firstLineChars="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二、带动就业（30分）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1.直接带动就业岗位的数量，间接带动创业就业的数量（15分）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2.预计未来3年将创造就业岗位的数量规模（5分）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3.带动高校毕业生、退役军人、残疾人、脱贫人口等重点群体就业情况（5分）</w:t>
      </w:r>
    </w:p>
    <w:p>
      <w:pPr>
        <w:pStyle w:val="2"/>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4.促进员工高质量稳定就业，在规范用工、提供发展平台、改善工作环境、引领生活方式转变等方面的举措和效果（5分）</w:t>
      </w:r>
    </w:p>
    <w:p>
      <w:pPr>
        <w:pStyle w:val="28"/>
        <w:widowControl/>
        <w:adjustRightInd w:val="0"/>
        <w:snapToGrid w:val="0"/>
        <w:spacing w:line="520" w:lineRule="exact"/>
        <w:ind w:right="-80" w:rightChars="-25" w:firstLine="0" w:firstLineChars="0"/>
        <w:jc w:val="left"/>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三、项目团队（20分）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1.项目第一创始人的素质、能力、背景和经历（5分）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2.团队成员构成的科学性、完整性、互补性和稳定性（5分）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3.团队的整体运营能力和执行力（5分）</w:t>
      </w:r>
    </w:p>
    <w:p>
      <w:pPr>
        <w:spacing w:line="52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4.团队股权结构和员工激励机制合理性（5分）</w:t>
      </w:r>
    </w:p>
    <w:p>
      <w:pPr>
        <w:pStyle w:val="28"/>
        <w:widowControl/>
        <w:adjustRightInd w:val="0"/>
        <w:snapToGrid w:val="0"/>
        <w:spacing w:line="520" w:lineRule="exact"/>
        <w:ind w:right="-80" w:rightChars="-25" w:firstLine="0" w:firstLineChars="0"/>
        <w:jc w:val="left"/>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四、发展现状和前景（20分）</w:t>
      </w:r>
    </w:p>
    <w:p>
      <w:pPr>
        <w:pStyle w:val="28"/>
        <w:spacing w:line="520" w:lineRule="exact"/>
        <w:ind w:firstLine="0" w:firstLineChars="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1.项目运营现状，已取得的经营业绩（5分）</w:t>
      </w:r>
    </w:p>
    <w:p>
      <w:pPr>
        <w:pStyle w:val="28"/>
        <w:widowControl/>
        <w:adjustRightInd w:val="0"/>
        <w:snapToGrid w:val="0"/>
        <w:spacing w:line="52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2.项目财务状况，融资状况（5分）</w:t>
      </w:r>
    </w:p>
    <w:p>
      <w:pPr>
        <w:pStyle w:val="29"/>
        <w:spacing w:after="0" w:line="520" w:lineRule="exact"/>
        <w:ind w:firstLine="0" w:firstLineChars="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3.项目具有广阔的市场前景，具备开拓市场的可行性和条件（5分）</w:t>
      </w:r>
    </w:p>
    <w:p>
      <w:pPr>
        <w:pStyle w:val="29"/>
        <w:spacing w:after="0" w:line="520" w:lineRule="exact"/>
        <w:ind w:firstLine="0" w:firstLineChars="0"/>
        <w:rPr>
          <w:rFonts w:ascii="仿宋_GB2312" w:hAnsi="仿宋_GB2312" w:eastAsia="仿宋_GB2312" w:cs="仿宋_GB2312"/>
          <w:szCs w:val="40"/>
        </w:rPr>
      </w:pPr>
      <w:r>
        <w:rPr>
          <w:rFonts w:hint="eastAsia" w:ascii="仿宋_GB2312" w:hAnsi="仿宋_GB2312" w:eastAsia="仿宋_GB2312" w:cs="仿宋_GB2312"/>
          <w:color w:val="000000" w:themeColor="text1"/>
          <w:sz w:val="28"/>
          <w:szCs w:val="28"/>
          <w14:textFill>
            <w14:solidFill>
              <w14:schemeClr w14:val="tx1"/>
            </w14:solidFill>
          </w14:textFill>
        </w:rPr>
        <w:t>4.项目具有可持续发展的能力及良好的经济、社会价值（5分）</w:t>
      </w:r>
      <w:bookmarkStart w:id="2" w:name="_Toc30394"/>
      <w:bookmarkStart w:id="3" w:name="_Toc22621"/>
    </w:p>
    <w:p>
      <w:pPr>
        <w:pStyle w:val="2"/>
        <w:spacing w:line="560" w:lineRule="exact"/>
        <w:rPr>
          <w:rFonts w:ascii="黑体" w:hAnsi="黑体" w:eastAsia="黑体" w:cs="黑体"/>
          <w:szCs w:val="40"/>
        </w:rPr>
      </w:pPr>
      <w:r>
        <w:rPr>
          <w:rFonts w:hint="eastAsia" w:ascii="黑体" w:hAnsi="黑体" w:eastAsia="黑体" w:cs="黑体"/>
          <w:szCs w:val="40"/>
        </w:rPr>
        <w:t>附件</w:t>
      </w:r>
      <w:bookmarkEnd w:id="2"/>
      <w:bookmarkEnd w:id="3"/>
      <w:r>
        <w:rPr>
          <w:rFonts w:hint="eastAsia" w:ascii="黑体" w:hAnsi="黑体" w:eastAsia="黑体" w:cs="黑体"/>
          <w:szCs w:val="40"/>
        </w:rPr>
        <w:t>7</w:t>
      </w:r>
    </w:p>
    <w:p>
      <w:pPr>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主体赛服务业项目组评审标准</w:t>
      </w:r>
    </w:p>
    <w:p>
      <w:pPr>
        <w:spacing w:line="560" w:lineRule="exact"/>
        <w:rPr>
          <w:rFonts w:ascii="仿宋_GB2312" w:hAnsi="仿宋_GB2312" w:eastAsia="仿宋_GB2312" w:cs="仿宋_GB2312"/>
          <w:color w:val="000000" w:themeColor="text1"/>
          <w:sz w:val="28"/>
          <w:szCs w:val="28"/>
          <w14:textFill>
            <w14:solidFill>
              <w14:schemeClr w14:val="tx1"/>
            </w14:solidFill>
          </w14:textFill>
        </w:rPr>
      </w:pPr>
    </w:p>
    <w:p>
      <w:pPr>
        <w:pStyle w:val="28"/>
        <w:spacing w:line="540" w:lineRule="exact"/>
        <w:ind w:firstLine="0" w:firstLineChars="0"/>
        <w:rPr>
          <w:rFonts w:ascii="黑体" w:hAnsi="黑体" w:eastAsia="黑体" w:cs="黑体"/>
          <w:szCs w:val="32"/>
        </w:rPr>
      </w:pPr>
      <w:bookmarkStart w:id="4" w:name="_Toc21428"/>
      <w:bookmarkStart w:id="5" w:name="_Toc3410"/>
      <w:r>
        <w:rPr>
          <w:rFonts w:hint="eastAsia" w:ascii="黑体" w:hAnsi="黑体" w:eastAsia="黑体" w:cs="黑体"/>
          <w:szCs w:val="32"/>
        </w:rPr>
        <w:t>一、创新引领性（25分）</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1.技术、服务或产品具有原创性、突破性、创新性（10分）</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2.技术、服务或产品具有行业领先性或取得了专利等知识产权成果，对推动服务业标准化、数字化、品牌化具有示范性和引领性（5分）</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3.管理、经营和服务模式具有可行性、创新性和竞争优势（10分）</w:t>
      </w:r>
    </w:p>
    <w:p>
      <w:pPr>
        <w:pStyle w:val="28"/>
        <w:spacing w:line="540" w:lineRule="exact"/>
        <w:ind w:firstLine="0" w:firstLineChars="0"/>
        <w:rPr>
          <w:rFonts w:ascii="黑体" w:hAnsi="黑体" w:eastAsia="黑体" w:cs="黑体"/>
          <w:szCs w:val="32"/>
        </w:rPr>
      </w:pPr>
      <w:r>
        <w:rPr>
          <w:rFonts w:hint="eastAsia" w:ascii="黑体" w:hAnsi="黑体" w:eastAsia="黑体" w:cs="黑体"/>
          <w:szCs w:val="32"/>
        </w:rPr>
        <w:t>二、带动就业（35分）</w:t>
      </w:r>
    </w:p>
    <w:p>
      <w:pPr>
        <w:spacing w:line="54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1.直接带动就业岗位的数量，间接带动创业就业的数量（15分）</w:t>
      </w:r>
    </w:p>
    <w:p>
      <w:pPr>
        <w:spacing w:line="54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2.预计未来3年将创造就业岗位的数量规模（5分）</w:t>
      </w:r>
    </w:p>
    <w:p>
      <w:pPr>
        <w:spacing w:line="54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3.带动高校毕业生、退役军人、残疾人、脱贫人口等重点群体就业情况（5分）</w:t>
      </w:r>
    </w:p>
    <w:p>
      <w:pPr>
        <w:pStyle w:val="2"/>
        <w:spacing w:line="54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4.促进员工高质量稳定就业，在规范用工、提供发展平台、改善工作环境、引领生活方式转变等方面的举措和效果（10分）</w:t>
      </w:r>
    </w:p>
    <w:p>
      <w:pPr>
        <w:pStyle w:val="28"/>
        <w:widowControl/>
        <w:adjustRightInd w:val="0"/>
        <w:snapToGrid w:val="0"/>
        <w:spacing w:line="540" w:lineRule="exact"/>
        <w:ind w:right="-80" w:rightChars="-25" w:firstLine="0" w:firstLineChars="0"/>
        <w:jc w:val="left"/>
        <w:rPr>
          <w:rFonts w:ascii="黑体" w:hAnsi="黑体" w:eastAsia="黑体" w:cs="黑体"/>
          <w:szCs w:val="32"/>
        </w:rPr>
      </w:pPr>
      <w:r>
        <w:rPr>
          <w:rFonts w:hint="eastAsia" w:ascii="黑体" w:hAnsi="黑体" w:eastAsia="黑体" w:cs="黑体"/>
          <w:szCs w:val="32"/>
        </w:rPr>
        <w:t>三、项目团队（20分）</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1.项目第一创始人的素质、能力、背景和经历（5分）</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2.团队成员构成的科学性、完整性、互补性和稳定性（5分）</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3.团队的整体运营能力和执行力（5分）</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4.团队股权结构和员工激励机制合理性（5分）</w:t>
      </w:r>
    </w:p>
    <w:p>
      <w:pPr>
        <w:pStyle w:val="28"/>
        <w:widowControl/>
        <w:adjustRightInd w:val="0"/>
        <w:snapToGrid w:val="0"/>
        <w:spacing w:line="540" w:lineRule="exact"/>
        <w:ind w:right="-80" w:rightChars="-25" w:firstLine="0" w:firstLineChars="0"/>
        <w:jc w:val="left"/>
        <w:rPr>
          <w:rFonts w:ascii="黑体" w:hAnsi="黑体" w:eastAsia="黑体" w:cs="黑体"/>
          <w:szCs w:val="32"/>
        </w:rPr>
      </w:pPr>
      <w:r>
        <w:rPr>
          <w:rFonts w:hint="eastAsia" w:ascii="黑体" w:hAnsi="黑体" w:eastAsia="黑体" w:cs="黑体"/>
          <w:szCs w:val="32"/>
        </w:rPr>
        <w:t>四、发展现状和前景（20分）</w:t>
      </w:r>
    </w:p>
    <w:p>
      <w:pPr>
        <w:pStyle w:val="28"/>
        <w:spacing w:line="540" w:lineRule="exact"/>
        <w:ind w:firstLine="0" w:firstLineChars="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1.项目运营现状，已取得的经营业绩（5分）</w:t>
      </w:r>
    </w:p>
    <w:p>
      <w:pPr>
        <w:pStyle w:val="28"/>
        <w:widowControl/>
        <w:adjustRightInd w:val="0"/>
        <w:snapToGrid w:val="0"/>
        <w:spacing w:line="5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2.项目财务状况，融资状况（5分）</w:t>
      </w:r>
    </w:p>
    <w:p>
      <w:pPr>
        <w:pStyle w:val="29"/>
        <w:spacing w:after="0" w:line="540" w:lineRule="exact"/>
        <w:ind w:firstLine="0" w:firstLineChars="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3.项目具有广阔的市场前景，具备开拓市场的可行性和条件（5分）</w:t>
      </w:r>
    </w:p>
    <w:p>
      <w:pPr>
        <w:pStyle w:val="28"/>
        <w:widowControl/>
        <w:adjustRightInd w:val="0"/>
        <w:snapToGrid w:val="0"/>
        <w:spacing w:line="540" w:lineRule="exact"/>
        <w:ind w:firstLine="0" w:firstLineChars="0"/>
        <w:jc w:val="left"/>
        <w:rPr>
          <w:rFonts w:ascii="仿宋_GB2312" w:hAnsi="仿宋_GB2312" w:eastAsia="仿宋_GB2312" w:cs="仿宋_GB2312"/>
          <w:szCs w:val="40"/>
        </w:rPr>
      </w:pPr>
      <w:r>
        <w:rPr>
          <w:rFonts w:hint="eastAsia" w:ascii="仿宋_GB2312" w:hAnsi="仿宋_GB2312" w:eastAsia="仿宋_GB2312" w:cs="仿宋_GB2312"/>
          <w:color w:val="000000" w:themeColor="text1"/>
          <w:sz w:val="28"/>
          <w:szCs w:val="28"/>
          <w14:textFill>
            <w14:solidFill>
              <w14:schemeClr w14:val="tx1"/>
            </w14:solidFill>
          </w14:textFill>
        </w:rPr>
        <w:t>4.项目具有可持续发展的能力及良好的经济、社会价值（5分）</w:t>
      </w:r>
    </w:p>
    <w:p>
      <w:pPr>
        <w:pStyle w:val="2"/>
        <w:spacing w:line="560" w:lineRule="exact"/>
        <w:rPr>
          <w:rFonts w:ascii="黑体" w:hAnsi="黑体" w:eastAsia="黑体" w:cs="黑体"/>
          <w:color w:val="000000" w:themeColor="text1"/>
          <w:sz w:val="40"/>
          <w:szCs w:val="40"/>
          <w14:textFill>
            <w14:solidFill>
              <w14:schemeClr w14:val="tx1"/>
            </w14:solidFill>
          </w14:textFill>
        </w:rPr>
      </w:pPr>
      <w:r>
        <w:rPr>
          <w:rFonts w:hint="eastAsia" w:ascii="黑体" w:hAnsi="黑体" w:eastAsia="黑体" w:cs="黑体"/>
          <w:szCs w:val="40"/>
        </w:rPr>
        <w:t>附件</w:t>
      </w:r>
      <w:bookmarkEnd w:id="4"/>
      <w:bookmarkEnd w:id="5"/>
      <w:r>
        <w:rPr>
          <w:rFonts w:hint="eastAsia" w:ascii="黑体" w:hAnsi="黑体" w:eastAsia="黑体" w:cs="黑体"/>
          <w:szCs w:val="40"/>
        </w:rPr>
        <w:t>8</w:t>
      </w:r>
    </w:p>
    <w:p>
      <w:pPr>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青年创意专项赛评审标准</w:t>
      </w:r>
    </w:p>
    <w:p>
      <w:pPr>
        <w:spacing w:line="560" w:lineRule="exact"/>
        <w:jc w:val="center"/>
        <w:rPr>
          <w:rFonts w:ascii="仿宋_GB2312" w:hAnsi="仿宋_GB2312" w:eastAsia="仿宋_GB2312" w:cs="仿宋_GB2312"/>
          <w:color w:val="000000" w:themeColor="text1"/>
          <w:sz w:val="36"/>
          <w:szCs w:val="36"/>
          <w14:textFill>
            <w14:solidFill>
              <w14:schemeClr w14:val="tx1"/>
            </w14:solidFill>
          </w14:textFill>
        </w:rPr>
      </w:pPr>
    </w:p>
    <w:p>
      <w:pPr>
        <w:pStyle w:val="28"/>
        <w:spacing w:line="560" w:lineRule="exact"/>
        <w:ind w:firstLine="0" w:firstLineChars="0"/>
        <w:rPr>
          <w:rFonts w:ascii="黑体" w:hAnsi="黑体" w:eastAsia="黑体" w:cs="黑体"/>
          <w:szCs w:val="32"/>
        </w:rPr>
      </w:pPr>
      <w:r>
        <w:rPr>
          <w:rFonts w:hint="eastAsia" w:ascii="黑体" w:hAnsi="黑体" w:eastAsia="黑体" w:cs="黑体"/>
          <w:szCs w:val="32"/>
        </w:rPr>
        <w:t>一、创新引领性（35分）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1.技术、产品或服务具有原创性、创新性（15分）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2.技术、产品具有行业领先性或取得了专利等知识产权成果，项目在某个行业或领域将具有示范性和引领性（10分）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3.商业模式、管理模式和服务模式具有可行性、创新性（10分）</w:t>
      </w:r>
    </w:p>
    <w:p>
      <w:pPr>
        <w:pStyle w:val="28"/>
        <w:spacing w:line="560" w:lineRule="exact"/>
        <w:ind w:firstLine="0" w:firstLineChars="0"/>
        <w:rPr>
          <w:rFonts w:ascii="黑体" w:hAnsi="黑体" w:eastAsia="黑体" w:cs="黑体"/>
          <w:szCs w:val="32"/>
        </w:rPr>
      </w:pPr>
      <w:r>
        <w:rPr>
          <w:rFonts w:hint="eastAsia" w:ascii="黑体" w:hAnsi="黑体" w:eastAsia="黑体" w:cs="黑体"/>
          <w:szCs w:val="32"/>
        </w:rPr>
        <w:t>二、预期带动就业（25分）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1.预期未来3年将创造直接就业和间接就业的规模（20分）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2.预期能带动高校毕业生、退役军人、残疾人、脱贫人口等重点群体就业情况（5分）</w:t>
      </w:r>
    </w:p>
    <w:p>
      <w:pPr>
        <w:pStyle w:val="28"/>
        <w:widowControl/>
        <w:adjustRightInd w:val="0"/>
        <w:snapToGrid w:val="0"/>
        <w:spacing w:line="560" w:lineRule="exact"/>
        <w:ind w:right="-80" w:rightChars="-25" w:firstLine="0" w:firstLineChars="0"/>
        <w:jc w:val="left"/>
        <w:rPr>
          <w:rFonts w:ascii="黑体" w:hAnsi="黑体" w:eastAsia="黑体" w:cs="黑体"/>
          <w:szCs w:val="32"/>
        </w:rPr>
      </w:pPr>
      <w:r>
        <w:rPr>
          <w:rFonts w:hint="eastAsia" w:ascii="黑体" w:hAnsi="黑体" w:eastAsia="黑体" w:cs="黑体"/>
          <w:szCs w:val="32"/>
        </w:rPr>
        <w:t>三、项目团队（20分）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1.项目第一创始人的素质、能力、背景和经历（10分）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2.团队成员构成的科学性、完整性、稳定性和互补性（10分）</w:t>
      </w:r>
    </w:p>
    <w:p>
      <w:pPr>
        <w:pStyle w:val="28"/>
        <w:widowControl/>
        <w:adjustRightInd w:val="0"/>
        <w:snapToGrid w:val="0"/>
        <w:spacing w:line="560" w:lineRule="exact"/>
        <w:ind w:right="-80" w:rightChars="-25" w:firstLine="0" w:firstLineChars="0"/>
        <w:jc w:val="left"/>
        <w:rPr>
          <w:rFonts w:ascii="黑体" w:hAnsi="黑体" w:eastAsia="黑体" w:cs="黑体"/>
          <w:szCs w:val="32"/>
        </w:rPr>
      </w:pPr>
      <w:r>
        <w:rPr>
          <w:rFonts w:hint="eastAsia" w:ascii="黑体" w:hAnsi="黑体" w:eastAsia="黑体" w:cs="黑体"/>
          <w:szCs w:val="32"/>
        </w:rPr>
        <w:t>四、发展前景（20分）</w:t>
      </w:r>
    </w:p>
    <w:p>
      <w:pPr>
        <w:pStyle w:val="28"/>
        <w:spacing w:line="56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1.项目市场前景，</w:t>
      </w:r>
      <w:r>
        <w:rPr>
          <w:rFonts w:hint="eastAsia" w:ascii="仿宋_GB2312" w:hAnsi="仿宋_GB2312" w:eastAsia="仿宋_GB2312" w:cs="仿宋_GB2312"/>
          <w:kern w:val="0"/>
          <w:sz w:val="28"/>
          <w:szCs w:val="28"/>
        </w:rPr>
        <w:t>开拓市场的可行性和条件</w:t>
      </w:r>
      <w:r>
        <w:rPr>
          <w:rFonts w:hint="eastAsia" w:ascii="仿宋_GB2312" w:hAnsi="仿宋_GB2312" w:eastAsia="仿宋_GB2312" w:cs="仿宋_GB2312"/>
          <w:sz w:val="28"/>
          <w:szCs w:val="28"/>
        </w:rPr>
        <w:t>（10分）</w:t>
      </w:r>
    </w:p>
    <w:p>
      <w:pPr>
        <w:pStyle w:val="28"/>
        <w:widowControl/>
        <w:adjustRightInd w:val="0"/>
        <w:snapToGrid w:val="0"/>
        <w:spacing w:line="56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2.项目具有可持续发展的必要条件及良好的经济、社会价值预期（10分）</w:t>
      </w:r>
    </w:p>
    <w:p>
      <w:pPr>
        <w:widowControl/>
        <w:spacing w:line="560" w:lineRule="exac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br w:type="page"/>
      </w:r>
    </w:p>
    <w:p>
      <w:pPr>
        <w:pStyle w:val="2"/>
        <w:spacing w:line="560" w:lineRule="exact"/>
        <w:rPr>
          <w:rFonts w:ascii="黑体" w:hAnsi="黑体" w:eastAsia="黑体" w:cs="黑体"/>
          <w:szCs w:val="40"/>
        </w:rPr>
      </w:pPr>
      <w:bookmarkStart w:id="6" w:name="_Toc10780"/>
      <w:bookmarkStart w:id="7" w:name="_Toc8296"/>
      <w:r>
        <w:rPr>
          <w:rFonts w:hint="eastAsia" w:ascii="黑体" w:hAnsi="黑体" w:eastAsia="黑体" w:cs="黑体"/>
          <w:szCs w:val="40"/>
        </w:rPr>
        <w:t>附件</w:t>
      </w:r>
      <w:bookmarkEnd w:id="6"/>
      <w:bookmarkEnd w:id="7"/>
      <w:r>
        <w:rPr>
          <w:rFonts w:hint="eastAsia" w:ascii="黑体" w:hAnsi="黑体" w:eastAsia="黑体" w:cs="黑体"/>
          <w:szCs w:val="40"/>
        </w:rPr>
        <w:t>9</w:t>
      </w:r>
    </w:p>
    <w:p>
      <w:pPr>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劳务品牌专项赛评审标准</w:t>
      </w:r>
    </w:p>
    <w:p>
      <w:pPr>
        <w:pStyle w:val="28"/>
        <w:numPr>
          <w:ilvl w:val="255"/>
          <w:numId w:val="0"/>
        </w:numPr>
        <w:spacing w:line="560" w:lineRule="exact"/>
        <w:rPr>
          <w:rFonts w:ascii="仿宋_GB2312" w:hAnsi="仿宋_GB2312" w:eastAsia="仿宋_GB2312" w:cs="仿宋_GB2312"/>
          <w:color w:val="000000" w:themeColor="text1"/>
          <w:szCs w:val="32"/>
          <w14:textFill>
            <w14:solidFill>
              <w14:schemeClr w14:val="tx1"/>
            </w14:solidFill>
          </w14:textFill>
        </w:rPr>
      </w:pPr>
    </w:p>
    <w:p>
      <w:pPr>
        <w:pStyle w:val="28"/>
        <w:numPr>
          <w:ilvl w:val="255"/>
          <w:numId w:val="0"/>
        </w:numPr>
        <w:spacing w:line="520" w:lineRule="exact"/>
        <w:rPr>
          <w:rFonts w:ascii="黑体" w:hAnsi="黑体" w:eastAsia="黑体" w:cs="黑体"/>
          <w:szCs w:val="32"/>
        </w:rPr>
      </w:pPr>
      <w:bookmarkStart w:id="8" w:name="_Toc15864"/>
      <w:bookmarkStart w:id="9" w:name="_Toc7380"/>
      <w:r>
        <w:rPr>
          <w:rFonts w:hint="eastAsia" w:ascii="黑体" w:hAnsi="黑体" w:eastAsia="黑体" w:cs="黑体"/>
          <w:szCs w:val="32"/>
        </w:rPr>
        <w:t>一、创新引领性（20分）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1.具有成型的产品或服务技术标准，在一定区域内或某个行业内已形成自有品牌，企业信誉度较高，具有较强的示范引领性（10分）</w:t>
      </w:r>
    </w:p>
    <w:p>
      <w:pPr>
        <w:spacing w:line="520" w:lineRule="exact"/>
        <w:rPr>
          <w:rFonts w:ascii="仿宋_GB2312" w:hAnsi="仿宋_GB2312" w:eastAsia="仿宋_GB2312" w:cs="仿宋_GB2312"/>
        </w:rPr>
      </w:pPr>
      <w:r>
        <w:rPr>
          <w:rFonts w:hint="eastAsia" w:ascii="仿宋_GB2312" w:hAnsi="仿宋_GB2312" w:eastAsia="仿宋_GB2312" w:cs="仿宋_GB2312"/>
          <w:sz w:val="28"/>
          <w:szCs w:val="28"/>
        </w:rPr>
        <w:t>2.</w:t>
      </w:r>
      <w:r>
        <w:rPr>
          <w:rFonts w:hint="eastAsia" w:ascii="仿宋_GB2312" w:hAnsi="仿宋_GB2312" w:eastAsia="仿宋_GB2312" w:cs="仿宋_GB2312"/>
          <w:spacing w:val="-6"/>
          <w:sz w:val="28"/>
          <w:szCs w:val="28"/>
        </w:rPr>
        <w:t>商业模式、管理模式和服务模式具有一定创新性和可持续性，对促进产业升级、区域经济发展、乡村振兴、文化技艺传承等方面有积极促进作用（10分）</w:t>
      </w:r>
    </w:p>
    <w:p>
      <w:pPr>
        <w:pStyle w:val="28"/>
        <w:spacing w:line="520" w:lineRule="exact"/>
        <w:ind w:firstLine="0" w:firstLineChars="0"/>
        <w:rPr>
          <w:rFonts w:ascii="黑体" w:hAnsi="黑体" w:eastAsia="黑体" w:cs="黑体"/>
          <w:szCs w:val="32"/>
        </w:rPr>
      </w:pPr>
      <w:r>
        <w:rPr>
          <w:rFonts w:hint="eastAsia" w:ascii="黑体" w:hAnsi="黑体" w:eastAsia="黑体" w:cs="黑体"/>
          <w:szCs w:val="32"/>
        </w:rPr>
        <w:t>二、带动就业（40分）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1.直接带动就业岗位的数量(晋级全国选拔赛的项目须提供县级以上人社部门或乡镇人民政府出具的证明)，间接带动创业就业的数量，预计未来3年将创造就业岗位的数量规模（20分）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2.带动农村劳动力、退役军人、残疾人、脱贫人口等重点群体及女性等特殊群体就业创业情况（10分）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3.促进员工高质量稳定就业，在规范用工、提高收入、提升技能、改善工作环境等方面的举措和效果（10分）</w:t>
      </w:r>
    </w:p>
    <w:p>
      <w:pPr>
        <w:pStyle w:val="28"/>
        <w:spacing w:line="520" w:lineRule="exact"/>
        <w:ind w:firstLine="0" w:firstLineChars="0"/>
        <w:rPr>
          <w:rFonts w:ascii="黑体" w:hAnsi="黑体" w:eastAsia="黑体" w:cs="黑体"/>
          <w:szCs w:val="32"/>
        </w:rPr>
      </w:pPr>
      <w:r>
        <w:rPr>
          <w:rFonts w:hint="eastAsia" w:ascii="黑体" w:hAnsi="黑体" w:eastAsia="黑体" w:cs="黑体"/>
          <w:szCs w:val="32"/>
        </w:rPr>
        <w:t>三、项目团队（15分）</w:t>
      </w:r>
    </w:p>
    <w:p>
      <w:pPr>
        <w:pStyle w:val="28"/>
        <w:widowControl/>
        <w:adjustRightInd w:val="0"/>
        <w:snapToGrid w:val="0"/>
        <w:spacing w:line="520" w:lineRule="exact"/>
        <w:ind w:right="-80" w:rightChars="-25"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1.项目第一创始人的素质、能力、背景和经历(5分)</w:t>
      </w:r>
    </w:p>
    <w:p>
      <w:pPr>
        <w:pStyle w:val="28"/>
        <w:widowControl/>
        <w:adjustRightInd w:val="0"/>
        <w:snapToGrid w:val="0"/>
        <w:spacing w:line="520" w:lineRule="exact"/>
        <w:ind w:right="-80" w:rightChars="-25"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2.团队成员构成的科学性、完整性和互补性（5分）</w:t>
      </w:r>
    </w:p>
    <w:p>
      <w:pPr>
        <w:pStyle w:val="28"/>
        <w:widowControl/>
        <w:adjustRightInd w:val="0"/>
        <w:snapToGrid w:val="0"/>
        <w:spacing w:line="520" w:lineRule="exact"/>
        <w:ind w:right="-80" w:rightChars="-25"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3.团队整体的运营能力和执行能力（5分）</w:t>
      </w:r>
    </w:p>
    <w:p>
      <w:pPr>
        <w:pStyle w:val="28"/>
        <w:spacing w:line="520" w:lineRule="exact"/>
        <w:ind w:firstLine="0" w:firstLineChars="0"/>
        <w:rPr>
          <w:rFonts w:ascii="黑体" w:hAnsi="黑体" w:eastAsia="黑体" w:cs="黑体"/>
          <w:szCs w:val="32"/>
        </w:rPr>
      </w:pPr>
      <w:r>
        <w:rPr>
          <w:rFonts w:hint="eastAsia" w:ascii="黑体" w:hAnsi="黑体" w:eastAsia="黑体" w:cs="黑体"/>
          <w:szCs w:val="32"/>
        </w:rPr>
        <w:t>四、发展现状和前景（25分）</w:t>
      </w:r>
    </w:p>
    <w:p>
      <w:pPr>
        <w:pStyle w:val="28"/>
        <w:spacing w:line="520" w:lineRule="exact"/>
        <w:ind w:firstLine="0" w:firstLineChars="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1.具有广阔的市场前景，</w:t>
      </w:r>
      <w:r>
        <w:rPr>
          <w:rFonts w:hint="eastAsia" w:ascii="仿宋_GB2312" w:hAnsi="仿宋_GB2312" w:eastAsia="仿宋_GB2312" w:cs="仿宋_GB2312"/>
          <w:spacing w:val="-6"/>
          <w:kern w:val="0"/>
          <w:sz w:val="28"/>
          <w:szCs w:val="28"/>
        </w:rPr>
        <w:t>具备大范围推广的可行性和基本条件</w:t>
      </w:r>
      <w:r>
        <w:rPr>
          <w:rFonts w:hint="eastAsia" w:ascii="仿宋_GB2312" w:hAnsi="仿宋_GB2312" w:eastAsia="仿宋_GB2312" w:cs="仿宋_GB2312"/>
          <w:spacing w:val="-6"/>
          <w:sz w:val="28"/>
          <w:szCs w:val="28"/>
        </w:rPr>
        <w:t>（10 分）</w:t>
      </w:r>
    </w:p>
    <w:p>
      <w:pPr>
        <w:pStyle w:val="28"/>
        <w:widowControl/>
        <w:adjustRightInd w:val="0"/>
        <w:snapToGrid w:val="0"/>
        <w:spacing w:line="520" w:lineRule="exact"/>
        <w:ind w:firstLine="0" w:firstLineChars="0"/>
        <w:jc w:val="left"/>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2.具有可持续发展的能力和良好的经济价值、社会价值（5分）</w:t>
      </w:r>
    </w:p>
    <w:p>
      <w:pPr>
        <w:pStyle w:val="28"/>
        <w:widowControl/>
        <w:spacing w:line="52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3.项目发展带动当地形成雁阵产业集群的能力（5分）</w:t>
      </w:r>
    </w:p>
    <w:p>
      <w:pPr>
        <w:pStyle w:val="28"/>
        <w:widowControl/>
        <w:spacing w:line="520" w:lineRule="exact"/>
        <w:ind w:firstLine="0" w:firstLineChars="0"/>
        <w:jc w:val="left"/>
        <w:rPr>
          <w:rFonts w:ascii="仿宋_GB2312" w:hAnsi="仿宋_GB2312" w:eastAsia="仿宋_GB2312" w:cs="仿宋_GB2312"/>
          <w:szCs w:val="40"/>
        </w:rPr>
      </w:pPr>
      <w:r>
        <w:rPr>
          <w:rFonts w:hint="eastAsia" w:ascii="仿宋_GB2312" w:hAnsi="仿宋_GB2312" w:eastAsia="仿宋_GB2312" w:cs="仿宋_GB2312"/>
          <w:sz w:val="28"/>
          <w:szCs w:val="28"/>
        </w:rPr>
        <w:t>4.运营现状和财务状况，取得的进展和业绩（5分）</w:t>
      </w:r>
    </w:p>
    <w:p>
      <w:pPr>
        <w:pStyle w:val="2"/>
        <w:spacing w:line="560" w:lineRule="exact"/>
        <w:rPr>
          <w:rFonts w:ascii="黑体" w:hAnsi="黑体" w:eastAsia="黑体" w:cs="黑体"/>
          <w:color w:val="000000" w:themeColor="text1"/>
          <w:sz w:val="40"/>
          <w:szCs w:val="40"/>
          <w14:textFill>
            <w14:solidFill>
              <w14:schemeClr w14:val="tx1"/>
            </w14:solidFill>
          </w14:textFill>
        </w:rPr>
      </w:pPr>
      <w:r>
        <w:rPr>
          <w:rFonts w:hint="eastAsia" w:ascii="黑体" w:hAnsi="黑体" w:eastAsia="黑体" w:cs="黑体"/>
          <w:szCs w:val="40"/>
        </w:rPr>
        <w:t>附件</w:t>
      </w:r>
      <w:bookmarkEnd w:id="8"/>
      <w:bookmarkEnd w:id="9"/>
      <w:r>
        <w:rPr>
          <w:rFonts w:hint="eastAsia" w:ascii="黑体" w:hAnsi="黑体" w:eastAsia="黑体" w:cs="黑体"/>
          <w:szCs w:val="40"/>
        </w:rPr>
        <w:t>10</w:t>
      </w:r>
    </w:p>
    <w:p>
      <w:pPr>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乡村振兴专项赛评审标准</w:t>
      </w:r>
    </w:p>
    <w:p>
      <w:pPr>
        <w:pStyle w:val="28"/>
        <w:numPr>
          <w:ilvl w:val="255"/>
          <w:numId w:val="0"/>
        </w:numPr>
        <w:spacing w:line="560" w:lineRule="exact"/>
        <w:rPr>
          <w:rFonts w:ascii="仿宋_GB2312" w:hAnsi="仿宋_GB2312" w:eastAsia="仿宋_GB2312" w:cs="仿宋_GB2312"/>
          <w:color w:val="000000" w:themeColor="text1"/>
          <w:szCs w:val="32"/>
          <w14:textFill>
            <w14:solidFill>
              <w14:schemeClr w14:val="tx1"/>
            </w14:solidFill>
          </w14:textFill>
        </w:rPr>
      </w:pPr>
    </w:p>
    <w:p>
      <w:pPr>
        <w:pStyle w:val="28"/>
        <w:spacing w:line="480" w:lineRule="exact"/>
        <w:ind w:firstLine="0" w:firstLineChars="0"/>
        <w:rPr>
          <w:rFonts w:ascii="黑体" w:hAnsi="黑体" w:eastAsia="黑体" w:cs="黑体"/>
          <w:szCs w:val="32"/>
        </w:rPr>
      </w:pPr>
      <w:r>
        <w:rPr>
          <w:rFonts w:hint="eastAsia" w:ascii="黑体" w:hAnsi="黑体" w:eastAsia="黑体" w:cs="黑体"/>
          <w:szCs w:val="32"/>
        </w:rPr>
        <w:t>一、创新引领性（25分）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1.服务、技术或产品具有原创性、创新性（5分）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2.技术或产品具有行业领先性或取得了专利等知识产权成果，项目在某个行业或领域具有示范性和引领性（5分）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pacing w:val="-6"/>
          <w:sz w:val="28"/>
          <w:szCs w:val="28"/>
        </w:rPr>
        <w:t>对巩固脱贫攻坚成果、促进产业升级、区域经济发展等方面有积极促进作用（5分）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4.商业模式、管理模式和服务模式具有创新性，适应在县以下小城镇和农村稳定发展（10分）</w:t>
      </w:r>
    </w:p>
    <w:p>
      <w:pPr>
        <w:pStyle w:val="28"/>
        <w:spacing w:line="480" w:lineRule="exact"/>
        <w:ind w:firstLine="0" w:firstLineChars="0"/>
        <w:rPr>
          <w:rFonts w:ascii="黑体" w:hAnsi="黑体" w:eastAsia="黑体" w:cs="黑体"/>
          <w:szCs w:val="32"/>
        </w:rPr>
      </w:pPr>
      <w:r>
        <w:rPr>
          <w:rFonts w:hint="eastAsia" w:ascii="黑体" w:hAnsi="黑体" w:eastAsia="黑体" w:cs="黑体"/>
          <w:szCs w:val="32"/>
        </w:rPr>
        <w:t>二、带动就业（35分）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1.直接带动就业岗位的数量(晋级全国总决赛的项目须提供县级以上人社部门或乡镇人民政府出具的证明)，间接带动创业就业的数量，预计未来3年将创造就业岗位的数量规模（20分）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2.带动高校毕业生、农村劳动力、退役军人、残疾人、脱贫人口等重点群体及女性等特殊群体就近就地就业情况（10分）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3.对促进员工高质量稳定就业，在规范用工、提高收入水平、提升员工能力、改善工作环境等方面的举措和效果（5分）</w:t>
      </w:r>
    </w:p>
    <w:p>
      <w:pPr>
        <w:pStyle w:val="28"/>
        <w:spacing w:line="480" w:lineRule="exact"/>
        <w:ind w:firstLine="0" w:firstLineChars="0"/>
        <w:rPr>
          <w:rFonts w:ascii="黑体" w:hAnsi="黑体" w:eastAsia="黑体" w:cs="黑体"/>
          <w:szCs w:val="32"/>
        </w:rPr>
      </w:pPr>
      <w:r>
        <w:rPr>
          <w:rFonts w:hint="eastAsia" w:ascii="黑体" w:hAnsi="黑体" w:eastAsia="黑体" w:cs="黑体"/>
          <w:szCs w:val="32"/>
        </w:rPr>
        <w:t>三、项目团队（15分）</w:t>
      </w:r>
    </w:p>
    <w:p>
      <w:pPr>
        <w:pStyle w:val="28"/>
        <w:widowControl/>
        <w:adjustRightInd w:val="0"/>
        <w:snapToGrid w:val="0"/>
        <w:spacing w:line="480" w:lineRule="exact"/>
        <w:ind w:right="-80" w:rightChars="-25"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1.项目第一创始人的素质、能力、背景和经历(5分)</w:t>
      </w:r>
    </w:p>
    <w:p>
      <w:pPr>
        <w:pStyle w:val="28"/>
        <w:widowControl/>
        <w:adjustRightInd w:val="0"/>
        <w:snapToGrid w:val="0"/>
        <w:spacing w:line="480" w:lineRule="exact"/>
        <w:ind w:right="-80" w:rightChars="-25"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2.团队成员构成的科学性、完整性、互补性和稳定性（5分）</w:t>
      </w:r>
    </w:p>
    <w:p>
      <w:pPr>
        <w:pStyle w:val="28"/>
        <w:widowControl/>
        <w:adjustRightInd w:val="0"/>
        <w:snapToGrid w:val="0"/>
        <w:spacing w:line="480" w:lineRule="exact"/>
        <w:ind w:right="-80" w:rightChars="-25"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3.团队整体的运营能力和执行能力（5分）</w:t>
      </w:r>
    </w:p>
    <w:p>
      <w:pPr>
        <w:pStyle w:val="28"/>
        <w:spacing w:line="480" w:lineRule="exact"/>
        <w:ind w:firstLine="0" w:firstLineChars="0"/>
        <w:rPr>
          <w:rFonts w:ascii="黑体" w:hAnsi="黑体" w:eastAsia="黑体" w:cs="黑体"/>
          <w:szCs w:val="32"/>
        </w:rPr>
      </w:pPr>
      <w:r>
        <w:rPr>
          <w:rFonts w:hint="eastAsia" w:ascii="黑体" w:hAnsi="黑体" w:eastAsia="黑体" w:cs="黑体"/>
          <w:szCs w:val="32"/>
        </w:rPr>
        <w:t>四、发展现状和前景（25分）</w:t>
      </w:r>
    </w:p>
    <w:p>
      <w:pPr>
        <w:pStyle w:val="28"/>
        <w:spacing w:line="480" w:lineRule="exact"/>
        <w:ind w:firstLine="0" w:firstLineChars="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1.项目具有广阔的市场前景，</w:t>
      </w:r>
      <w:r>
        <w:rPr>
          <w:rFonts w:hint="eastAsia" w:ascii="仿宋_GB2312" w:hAnsi="仿宋_GB2312" w:eastAsia="仿宋_GB2312" w:cs="仿宋_GB2312"/>
          <w:spacing w:val="-6"/>
          <w:kern w:val="0"/>
          <w:sz w:val="28"/>
          <w:szCs w:val="28"/>
        </w:rPr>
        <w:t>具备大范围推广的可行性和条件</w:t>
      </w:r>
      <w:r>
        <w:rPr>
          <w:rFonts w:hint="eastAsia" w:ascii="仿宋_GB2312" w:hAnsi="仿宋_GB2312" w:eastAsia="仿宋_GB2312" w:cs="仿宋_GB2312"/>
          <w:spacing w:val="-6"/>
          <w:sz w:val="28"/>
          <w:szCs w:val="28"/>
        </w:rPr>
        <w:t>（10 分）</w:t>
      </w:r>
    </w:p>
    <w:p>
      <w:pPr>
        <w:pStyle w:val="28"/>
        <w:widowControl/>
        <w:adjustRightInd w:val="0"/>
        <w:snapToGrid w:val="0"/>
        <w:spacing w:line="480" w:lineRule="exact"/>
        <w:ind w:firstLine="0" w:firstLineChars="0"/>
        <w:jc w:val="left"/>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2.项目具有可持续发展的能力，及良好的经济价值、社会价值（5分）</w:t>
      </w:r>
    </w:p>
    <w:p>
      <w:pPr>
        <w:pStyle w:val="28"/>
        <w:widowControl/>
        <w:spacing w:line="48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3.项目发展带动当地形成雁阵产业集群的能力（5分）</w:t>
      </w:r>
    </w:p>
    <w:p>
      <w:pPr>
        <w:pStyle w:val="28"/>
        <w:widowControl/>
        <w:spacing w:line="480" w:lineRule="exact"/>
        <w:ind w:firstLine="0" w:firstLineChars="0"/>
        <w:jc w:val="left"/>
        <w:rPr>
          <w:rFonts w:ascii="仿宋_GB2312" w:hAnsi="仿宋_GB2312" w:eastAsia="仿宋_GB2312" w:cs="仿宋_GB2312"/>
          <w:color w:val="000000" w:themeColor="text1"/>
          <w:sz w:val="40"/>
          <w:szCs w:val="40"/>
          <w14:textFill>
            <w14:solidFill>
              <w14:schemeClr w14:val="tx1"/>
            </w14:solidFill>
          </w14:textFill>
        </w:rPr>
      </w:pPr>
      <w:r>
        <w:rPr>
          <w:rFonts w:hint="eastAsia" w:ascii="仿宋_GB2312" w:hAnsi="仿宋_GB2312" w:eastAsia="仿宋_GB2312" w:cs="仿宋_GB2312"/>
          <w:sz w:val="28"/>
          <w:szCs w:val="28"/>
        </w:rPr>
        <w:t>4.运营现状和财务状况，取得的进展和业绩（5分）</w:t>
      </w:r>
    </w:p>
    <w:sectPr>
      <w:footerReference r:id="rId8" w:type="first"/>
      <w:footerReference r:id="rId6" w:type="default"/>
      <w:footerReference r:id="rId7" w:type="even"/>
      <w:pgSz w:w="11906" w:h="16838"/>
      <w:pgMar w:top="1440" w:right="1797" w:bottom="1440" w:left="1797" w:header="851" w:footer="992" w:gutter="0"/>
      <w:cols w:space="0" w:num="1"/>
      <w:titlePg/>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F00EB9-9623-4F4D-A0CA-2AC84C41105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86861D5-1DC7-4190-9543-C1345EA6514F}"/>
  </w:font>
  <w:font w:name="仿宋">
    <w:panose1 w:val="02010609060101010101"/>
    <w:charset w:val="86"/>
    <w:family w:val="modern"/>
    <w:pitch w:val="default"/>
    <w:sig w:usb0="800002BF" w:usb1="38CF7CFA" w:usb2="00000016" w:usb3="00000000" w:csb0="00040001" w:csb1="00000000"/>
    <w:embedRegular r:id="rId3" w:fontKey="{DBEA8ECD-C36C-4488-BF06-45185E5CE5DB}"/>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4" w:fontKey="{89F07CEE-4A15-45C7-8BC9-60003FBE49FB}"/>
  </w:font>
  <w:font w:name="等线">
    <w:altName w:val="微软雅黑"/>
    <w:panose1 w:val="00000000000000000000"/>
    <w:charset w:val="86"/>
    <w:family w:val="auto"/>
    <w:pitch w:val="default"/>
    <w:sig w:usb0="00000000" w:usb1="00000000" w:usb2="00000016" w:usb3="00000000" w:csb0="0004000F" w:csb1="00000000"/>
    <w:embedRegular r:id="rId5" w:fontKey="{A035C180-71D1-4CA4-88FD-B3A18F9BF4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5y/Y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DnL9j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u8OI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7w4j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20</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7"/>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20</w:t>
                    </w:r>
                    <w:r>
                      <w:rPr>
                        <w:rFonts w:hint="eastAsia" w:ascii="宋体" w:hAnsi="宋体" w:eastAsia="宋体" w:cs="宋体"/>
                        <w:sz w:val="28"/>
                        <w:szCs w:val="28"/>
                      </w:rP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99FA3"/>
    <w:multiLevelType w:val="singleLevel"/>
    <w:tmpl w:val="46499FA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NotTrackMoves/>
  <w:documentProtection w:enforcement="0"/>
  <w:defaultTabStop w:val="420"/>
  <w:evenAndOddHeaders w:val="1"/>
  <w:drawingGridHorizontalSpacing w:val="158"/>
  <w:drawingGridVerticalSpacing w:val="290"/>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35"/>
    <w:rsid w:val="00013B92"/>
    <w:rsid w:val="00025D11"/>
    <w:rsid w:val="00030DF0"/>
    <w:rsid w:val="00040BC0"/>
    <w:rsid w:val="00040F14"/>
    <w:rsid w:val="000431C0"/>
    <w:rsid w:val="000456A6"/>
    <w:rsid w:val="00045F02"/>
    <w:rsid w:val="00062F6F"/>
    <w:rsid w:val="000661BC"/>
    <w:rsid w:val="00076826"/>
    <w:rsid w:val="00086F37"/>
    <w:rsid w:val="00090A9A"/>
    <w:rsid w:val="00091C4D"/>
    <w:rsid w:val="00094D28"/>
    <w:rsid w:val="000A4AB0"/>
    <w:rsid w:val="000B1EB9"/>
    <w:rsid w:val="000B3008"/>
    <w:rsid w:val="000B3641"/>
    <w:rsid w:val="000B56CF"/>
    <w:rsid w:val="000C0F13"/>
    <w:rsid w:val="000C6123"/>
    <w:rsid w:val="000E02F6"/>
    <w:rsid w:val="000E34CD"/>
    <w:rsid w:val="000E4528"/>
    <w:rsid w:val="000E5B3B"/>
    <w:rsid w:val="000E6560"/>
    <w:rsid w:val="000F36A9"/>
    <w:rsid w:val="000F4409"/>
    <w:rsid w:val="000F5EA9"/>
    <w:rsid w:val="000F6259"/>
    <w:rsid w:val="00102633"/>
    <w:rsid w:val="001037E1"/>
    <w:rsid w:val="0010767E"/>
    <w:rsid w:val="00116178"/>
    <w:rsid w:val="001203EC"/>
    <w:rsid w:val="0012081F"/>
    <w:rsid w:val="00120894"/>
    <w:rsid w:val="00121100"/>
    <w:rsid w:val="00121947"/>
    <w:rsid w:val="00122DF6"/>
    <w:rsid w:val="001371DC"/>
    <w:rsid w:val="001375C2"/>
    <w:rsid w:val="001403F1"/>
    <w:rsid w:val="001450A7"/>
    <w:rsid w:val="0014627A"/>
    <w:rsid w:val="00150053"/>
    <w:rsid w:val="00150EEE"/>
    <w:rsid w:val="00157506"/>
    <w:rsid w:val="00160CDA"/>
    <w:rsid w:val="00162D9E"/>
    <w:rsid w:val="00170C7B"/>
    <w:rsid w:val="00172A27"/>
    <w:rsid w:val="001774E6"/>
    <w:rsid w:val="001779FB"/>
    <w:rsid w:val="00177AE5"/>
    <w:rsid w:val="00182026"/>
    <w:rsid w:val="00182825"/>
    <w:rsid w:val="001831E4"/>
    <w:rsid w:val="00183CE8"/>
    <w:rsid w:val="001A2186"/>
    <w:rsid w:val="001A21D7"/>
    <w:rsid w:val="001A2BB6"/>
    <w:rsid w:val="001B2194"/>
    <w:rsid w:val="001B5ECD"/>
    <w:rsid w:val="001B66EC"/>
    <w:rsid w:val="001C2E4B"/>
    <w:rsid w:val="001C5342"/>
    <w:rsid w:val="001C6136"/>
    <w:rsid w:val="001C6CD1"/>
    <w:rsid w:val="001D00F3"/>
    <w:rsid w:val="001D3F7D"/>
    <w:rsid w:val="001E34C0"/>
    <w:rsid w:val="001F39E1"/>
    <w:rsid w:val="00200354"/>
    <w:rsid w:val="002057D7"/>
    <w:rsid w:val="00211C42"/>
    <w:rsid w:val="00213315"/>
    <w:rsid w:val="00223A83"/>
    <w:rsid w:val="00224C86"/>
    <w:rsid w:val="00226D72"/>
    <w:rsid w:val="00227136"/>
    <w:rsid w:val="00231A0F"/>
    <w:rsid w:val="00240AC6"/>
    <w:rsid w:val="00240DB2"/>
    <w:rsid w:val="00242279"/>
    <w:rsid w:val="0024718F"/>
    <w:rsid w:val="002516C0"/>
    <w:rsid w:val="002522CE"/>
    <w:rsid w:val="0026506E"/>
    <w:rsid w:val="00266211"/>
    <w:rsid w:val="00267634"/>
    <w:rsid w:val="00267BB3"/>
    <w:rsid w:val="00272CB4"/>
    <w:rsid w:val="00273638"/>
    <w:rsid w:val="002766F7"/>
    <w:rsid w:val="00282C21"/>
    <w:rsid w:val="00283ED4"/>
    <w:rsid w:val="0029533C"/>
    <w:rsid w:val="00296D1B"/>
    <w:rsid w:val="002A1BD9"/>
    <w:rsid w:val="002A1FFB"/>
    <w:rsid w:val="002A44B1"/>
    <w:rsid w:val="002A469A"/>
    <w:rsid w:val="002B12BC"/>
    <w:rsid w:val="002C0FE5"/>
    <w:rsid w:val="002C6AC8"/>
    <w:rsid w:val="002E2C4D"/>
    <w:rsid w:val="002E42C1"/>
    <w:rsid w:val="002F20F5"/>
    <w:rsid w:val="002F66BA"/>
    <w:rsid w:val="003027B0"/>
    <w:rsid w:val="00306B6C"/>
    <w:rsid w:val="00311431"/>
    <w:rsid w:val="003124EB"/>
    <w:rsid w:val="00323682"/>
    <w:rsid w:val="0032582C"/>
    <w:rsid w:val="00351A65"/>
    <w:rsid w:val="003520F3"/>
    <w:rsid w:val="0035610A"/>
    <w:rsid w:val="0036002B"/>
    <w:rsid w:val="00375FDF"/>
    <w:rsid w:val="003826A5"/>
    <w:rsid w:val="003850D5"/>
    <w:rsid w:val="003919E9"/>
    <w:rsid w:val="00392519"/>
    <w:rsid w:val="00392AA5"/>
    <w:rsid w:val="00396E4E"/>
    <w:rsid w:val="003A08FC"/>
    <w:rsid w:val="003A4CA5"/>
    <w:rsid w:val="003A5906"/>
    <w:rsid w:val="003A71B1"/>
    <w:rsid w:val="003B18AB"/>
    <w:rsid w:val="003B4DF8"/>
    <w:rsid w:val="003B4F6C"/>
    <w:rsid w:val="003B7935"/>
    <w:rsid w:val="003C399F"/>
    <w:rsid w:val="003D112A"/>
    <w:rsid w:val="003D47E0"/>
    <w:rsid w:val="003E5192"/>
    <w:rsid w:val="003F7C34"/>
    <w:rsid w:val="00403418"/>
    <w:rsid w:val="00410BAE"/>
    <w:rsid w:val="00410F93"/>
    <w:rsid w:val="0042035B"/>
    <w:rsid w:val="00420500"/>
    <w:rsid w:val="00420C2C"/>
    <w:rsid w:val="00420E8D"/>
    <w:rsid w:val="00421338"/>
    <w:rsid w:val="00423F9B"/>
    <w:rsid w:val="00426572"/>
    <w:rsid w:val="004275AC"/>
    <w:rsid w:val="00430348"/>
    <w:rsid w:val="00440D97"/>
    <w:rsid w:val="00443AAC"/>
    <w:rsid w:val="004453FF"/>
    <w:rsid w:val="0044644F"/>
    <w:rsid w:val="00451618"/>
    <w:rsid w:val="004667AE"/>
    <w:rsid w:val="00466FB4"/>
    <w:rsid w:val="00470193"/>
    <w:rsid w:val="00471A79"/>
    <w:rsid w:val="00474B65"/>
    <w:rsid w:val="00481114"/>
    <w:rsid w:val="00483629"/>
    <w:rsid w:val="0048788B"/>
    <w:rsid w:val="00487B7B"/>
    <w:rsid w:val="00490150"/>
    <w:rsid w:val="00492868"/>
    <w:rsid w:val="0049539C"/>
    <w:rsid w:val="004A556B"/>
    <w:rsid w:val="004B3724"/>
    <w:rsid w:val="004B5E6A"/>
    <w:rsid w:val="004B7ED3"/>
    <w:rsid w:val="004C0DCE"/>
    <w:rsid w:val="004C477B"/>
    <w:rsid w:val="004C7C84"/>
    <w:rsid w:val="004D11A4"/>
    <w:rsid w:val="004D22A4"/>
    <w:rsid w:val="004E45EC"/>
    <w:rsid w:val="004F5317"/>
    <w:rsid w:val="005001AA"/>
    <w:rsid w:val="005110CE"/>
    <w:rsid w:val="00512675"/>
    <w:rsid w:val="0051394B"/>
    <w:rsid w:val="00523543"/>
    <w:rsid w:val="0053603E"/>
    <w:rsid w:val="00541E8D"/>
    <w:rsid w:val="005471BC"/>
    <w:rsid w:val="00551973"/>
    <w:rsid w:val="00551BC0"/>
    <w:rsid w:val="00553BAE"/>
    <w:rsid w:val="00556C2B"/>
    <w:rsid w:val="00556D23"/>
    <w:rsid w:val="00561F7A"/>
    <w:rsid w:val="00563808"/>
    <w:rsid w:val="00563CE1"/>
    <w:rsid w:val="00563D68"/>
    <w:rsid w:val="00566B42"/>
    <w:rsid w:val="0057167F"/>
    <w:rsid w:val="00577676"/>
    <w:rsid w:val="005801DD"/>
    <w:rsid w:val="00580D2C"/>
    <w:rsid w:val="00580EFF"/>
    <w:rsid w:val="00582C6A"/>
    <w:rsid w:val="005851C4"/>
    <w:rsid w:val="00587DEA"/>
    <w:rsid w:val="00593CED"/>
    <w:rsid w:val="005942E5"/>
    <w:rsid w:val="005B19A6"/>
    <w:rsid w:val="005B34B2"/>
    <w:rsid w:val="005B3DB0"/>
    <w:rsid w:val="005C29F8"/>
    <w:rsid w:val="005D640E"/>
    <w:rsid w:val="005D653B"/>
    <w:rsid w:val="005D79A6"/>
    <w:rsid w:val="005D7C33"/>
    <w:rsid w:val="005E68FC"/>
    <w:rsid w:val="005E7A40"/>
    <w:rsid w:val="006008EC"/>
    <w:rsid w:val="006022AF"/>
    <w:rsid w:val="006065AE"/>
    <w:rsid w:val="0060706A"/>
    <w:rsid w:val="00621330"/>
    <w:rsid w:val="00623AE0"/>
    <w:rsid w:val="00632E62"/>
    <w:rsid w:val="0063333B"/>
    <w:rsid w:val="00635F35"/>
    <w:rsid w:val="00646D00"/>
    <w:rsid w:val="00650DF3"/>
    <w:rsid w:val="0065244B"/>
    <w:rsid w:val="0065391D"/>
    <w:rsid w:val="00656B6D"/>
    <w:rsid w:val="0065775F"/>
    <w:rsid w:val="006600A4"/>
    <w:rsid w:val="00661E9B"/>
    <w:rsid w:val="00664F19"/>
    <w:rsid w:val="00666273"/>
    <w:rsid w:val="0067698F"/>
    <w:rsid w:val="00682E7E"/>
    <w:rsid w:val="00685D42"/>
    <w:rsid w:val="00690773"/>
    <w:rsid w:val="00690C50"/>
    <w:rsid w:val="006B24BF"/>
    <w:rsid w:val="006B256B"/>
    <w:rsid w:val="006B2F95"/>
    <w:rsid w:val="006B3E2A"/>
    <w:rsid w:val="006B5822"/>
    <w:rsid w:val="006B6299"/>
    <w:rsid w:val="006B6BD2"/>
    <w:rsid w:val="006C017B"/>
    <w:rsid w:val="006C2219"/>
    <w:rsid w:val="006C5238"/>
    <w:rsid w:val="006C6C23"/>
    <w:rsid w:val="006C706A"/>
    <w:rsid w:val="006D27B0"/>
    <w:rsid w:val="006D62AB"/>
    <w:rsid w:val="006E0894"/>
    <w:rsid w:val="006E2F83"/>
    <w:rsid w:val="006E4C15"/>
    <w:rsid w:val="006E4CCE"/>
    <w:rsid w:val="006E5F55"/>
    <w:rsid w:val="006F0263"/>
    <w:rsid w:val="006F1E2A"/>
    <w:rsid w:val="006F4A35"/>
    <w:rsid w:val="00704ED6"/>
    <w:rsid w:val="0071110F"/>
    <w:rsid w:val="00711592"/>
    <w:rsid w:val="007160DE"/>
    <w:rsid w:val="00723AA8"/>
    <w:rsid w:val="007302AC"/>
    <w:rsid w:val="00732C88"/>
    <w:rsid w:val="00733092"/>
    <w:rsid w:val="00734546"/>
    <w:rsid w:val="00740CD5"/>
    <w:rsid w:val="00751FAE"/>
    <w:rsid w:val="00753EE7"/>
    <w:rsid w:val="00754567"/>
    <w:rsid w:val="0075593D"/>
    <w:rsid w:val="00756300"/>
    <w:rsid w:val="007565FC"/>
    <w:rsid w:val="0076435C"/>
    <w:rsid w:val="0076658C"/>
    <w:rsid w:val="00792E89"/>
    <w:rsid w:val="007A6056"/>
    <w:rsid w:val="007B3F61"/>
    <w:rsid w:val="007B4E1B"/>
    <w:rsid w:val="007B54B3"/>
    <w:rsid w:val="007B7368"/>
    <w:rsid w:val="007C002C"/>
    <w:rsid w:val="007C2398"/>
    <w:rsid w:val="007D6D50"/>
    <w:rsid w:val="007D78B4"/>
    <w:rsid w:val="007E1A55"/>
    <w:rsid w:val="007E2A88"/>
    <w:rsid w:val="007E57F2"/>
    <w:rsid w:val="007F4B44"/>
    <w:rsid w:val="007F710C"/>
    <w:rsid w:val="00803E16"/>
    <w:rsid w:val="00811D2B"/>
    <w:rsid w:val="00824DF6"/>
    <w:rsid w:val="008337DB"/>
    <w:rsid w:val="008470AB"/>
    <w:rsid w:val="00852719"/>
    <w:rsid w:val="00853448"/>
    <w:rsid w:val="00863B48"/>
    <w:rsid w:val="00863F1E"/>
    <w:rsid w:val="00866359"/>
    <w:rsid w:val="008664D4"/>
    <w:rsid w:val="00873DF5"/>
    <w:rsid w:val="00876A5F"/>
    <w:rsid w:val="00877C28"/>
    <w:rsid w:val="008806B0"/>
    <w:rsid w:val="008820B5"/>
    <w:rsid w:val="00883EF2"/>
    <w:rsid w:val="00891535"/>
    <w:rsid w:val="0089295D"/>
    <w:rsid w:val="008C1D33"/>
    <w:rsid w:val="008C4E6D"/>
    <w:rsid w:val="008C5C85"/>
    <w:rsid w:val="008D032D"/>
    <w:rsid w:val="008D09C1"/>
    <w:rsid w:val="008D0A3D"/>
    <w:rsid w:val="009013E3"/>
    <w:rsid w:val="00907B63"/>
    <w:rsid w:val="00911397"/>
    <w:rsid w:val="00914959"/>
    <w:rsid w:val="00921ECF"/>
    <w:rsid w:val="00937B77"/>
    <w:rsid w:val="009462C6"/>
    <w:rsid w:val="0095243D"/>
    <w:rsid w:val="00953FFE"/>
    <w:rsid w:val="00960388"/>
    <w:rsid w:val="0096338E"/>
    <w:rsid w:val="00966C6B"/>
    <w:rsid w:val="00967E08"/>
    <w:rsid w:val="00971C19"/>
    <w:rsid w:val="009773BE"/>
    <w:rsid w:val="00977BB6"/>
    <w:rsid w:val="00984CB3"/>
    <w:rsid w:val="009868B7"/>
    <w:rsid w:val="009915A5"/>
    <w:rsid w:val="009930D0"/>
    <w:rsid w:val="00993467"/>
    <w:rsid w:val="0099678A"/>
    <w:rsid w:val="009B0612"/>
    <w:rsid w:val="009B1697"/>
    <w:rsid w:val="009B277F"/>
    <w:rsid w:val="009B37E5"/>
    <w:rsid w:val="009B4A1E"/>
    <w:rsid w:val="009B4F6F"/>
    <w:rsid w:val="009B63B2"/>
    <w:rsid w:val="009C20C5"/>
    <w:rsid w:val="009C3874"/>
    <w:rsid w:val="009D00D1"/>
    <w:rsid w:val="009D0FB0"/>
    <w:rsid w:val="009D4211"/>
    <w:rsid w:val="009D4AAD"/>
    <w:rsid w:val="009D6640"/>
    <w:rsid w:val="009D6E75"/>
    <w:rsid w:val="009E1FFC"/>
    <w:rsid w:val="009E235D"/>
    <w:rsid w:val="009E63CE"/>
    <w:rsid w:val="009F1CD1"/>
    <w:rsid w:val="00A030B4"/>
    <w:rsid w:val="00A11F66"/>
    <w:rsid w:val="00A20686"/>
    <w:rsid w:val="00A37D43"/>
    <w:rsid w:val="00A432D7"/>
    <w:rsid w:val="00A50DB2"/>
    <w:rsid w:val="00A57AE1"/>
    <w:rsid w:val="00A57EFB"/>
    <w:rsid w:val="00A602D4"/>
    <w:rsid w:val="00A64A84"/>
    <w:rsid w:val="00A67FCC"/>
    <w:rsid w:val="00A703A5"/>
    <w:rsid w:val="00A72D1E"/>
    <w:rsid w:val="00A770BB"/>
    <w:rsid w:val="00A935E7"/>
    <w:rsid w:val="00A97F8E"/>
    <w:rsid w:val="00AA1FA5"/>
    <w:rsid w:val="00AA344E"/>
    <w:rsid w:val="00AA34BC"/>
    <w:rsid w:val="00AA40EC"/>
    <w:rsid w:val="00AA6C79"/>
    <w:rsid w:val="00AB5659"/>
    <w:rsid w:val="00AB5906"/>
    <w:rsid w:val="00AB67D4"/>
    <w:rsid w:val="00AC6CF1"/>
    <w:rsid w:val="00AC6D21"/>
    <w:rsid w:val="00AD09EF"/>
    <w:rsid w:val="00AD6193"/>
    <w:rsid w:val="00AD6954"/>
    <w:rsid w:val="00AE080D"/>
    <w:rsid w:val="00AF0071"/>
    <w:rsid w:val="00AF4600"/>
    <w:rsid w:val="00B002DF"/>
    <w:rsid w:val="00B00ABA"/>
    <w:rsid w:val="00B01E85"/>
    <w:rsid w:val="00B14C84"/>
    <w:rsid w:val="00B14DB5"/>
    <w:rsid w:val="00B15E48"/>
    <w:rsid w:val="00B16ADA"/>
    <w:rsid w:val="00B30D35"/>
    <w:rsid w:val="00B349D4"/>
    <w:rsid w:val="00B436A2"/>
    <w:rsid w:val="00B44C3F"/>
    <w:rsid w:val="00B46607"/>
    <w:rsid w:val="00B5610E"/>
    <w:rsid w:val="00B62F9B"/>
    <w:rsid w:val="00B6641D"/>
    <w:rsid w:val="00B67780"/>
    <w:rsid w:val="00B729C3"/>
    <w:rsid w:val="00B74D76"/>
    <w:rsid w:val="00B760F2"/>
    <w:rsid w:val="00B77C4B"/>
    <w:rsid w:val="00B80327"/>
    <w:rsid w:val="00B84FE0"/>
    <w:rsid w:val="00B85D88"/>
    <w:rsid w:val="00B86B68"/>
    <w:rsid w:val="00B871CE"/>
    <w:rsid w:val="00B91E57"/>
    <w:rsid w:val="00B95CDE"/>
    <w:rsid w:val="00BA26E6"/>
    <w:rsid w:val="00BA55F9"/>
    <w:rsid w:val="00BB3DBB"/>
    <w:rsid w:val="00BC2DF0"/>
    <w:rsid w:val="00BC4404"/>
    <w:rsid w:val="00BD4FAB"/>
    <w:rsid w:val="00BD6552"/>
    <w:rsid w:val="00BE0B0C"/>
    <w:rsid w:val="00BE421D"/>
    <w:rsid w:val="00BE5695"/>
    <w:rsid w:val="00BF2B7A"/>
    <w:rsid w:val="00BF3D3A"/>
    <w:rsid w:val="00BF4075"/>
    <w:rsid w:val="00C009C6"/>
    <w:rsid w:val="00C03736"/>
    <w:rsid w:val="00C106B4"/>
    <w:rsid w:val="00C139B9"/>
    <w:rsid w:val="00C20C99"/>
    <w:rsid w:val="00C21A9F"/>
    <w:rsid w:val="00C22456"/>
    <w:rsid w:val="00C232FF"/>
    <w:rsid w:val="00C25659"/>
    <w:rsid w:val="00C31C44"/>
    <w:rsid w:val="00C46A1D"/>
    <w:rsid w:val="00C51007"/>
    <w:rsid w:val="00C55031"/>
    <w:rsid w:val="00C555C8"/>
    <w:rsid w:val="00C67848"/>
    <w:rsid w:val="00C760E2"/>
    <w:rsid w:val="00C829FF"/>
    <w:rsid w:val="00C9388D"/>
    <w:rsid w:val="00C9632C"/>
    <w:rsid w:val="00CA2693"/>
    <w:rsid w:val="00CA3F01"/>
    <w:rsid w:val="00CA4062"/>
    <w:rsid w:val="00CA77BA"/>
    <w:rsid w:val="00CB1089"/>
    <w:rsid w:val="00CB3A05"/>
    <w:rsid w:val="00CC033D"/>
    <w:rsid w:val="00CC25F4"/>
    <w:rsid w:val="00CC5002"/>
    <w:rsid w:val="00CD3F1B"/>
    <w:rsid w:val="00CF0CDD"/>
    <w:rsid w:val="00CF1190"/>
    <w:rsid w:val="00CF5B03"/>
    <w:rsid w:val="00CF5DBB"/>
    <w:rsid w:val="00CF6105"/>
    <w:rsid w:val="00CF617E"/>
    <w:rsid w:val="00D066BE"/>
    <w:rsid w:val="00D10D68"/>
    <w:rsid w:val="00D13735"/>
    <w:rsid w:val="00D14CAC"/>
    <w:rsid w:val="00D25B0C"/>
    <w:rsid w:val="00D34205"/>
    <w:rsid w:val="00D37A4B"/>
    <w:rsid w:val="00D42621"/>
    <w:rsid w:val="00D436B1"/>
    <w:rsid w:val="00D503A9"/>
    <w:rsid w:val="00D52A84"/>
    <w:rsid w:val="00D63E11"/>
    <w:rsid w:val="00D644DC"/>
    <w:rsid w:val="00D82DD5"/>
    <w:rsid w:val="00D86EAA"/>
    <w:rsid w:val="00D87A63"/>
    <w:rsid w:val="00D908F4"/>
    <w:rsid w:val="00D93CA7"/>
    <w:rsid w:val="00DA7371"/>
    <w:rsid w:val="00DB3D31"/>
    <w:rsid w:val="00DB6265"/>
    <w:rsid w:val="00DB7D18"/>
    <w:rsid w:val="00DC1D28"/>
    <w:rsid w:val="00DD0EC3"/>
    <w:rsid w:val="00DD394C"/>
    <w:rsid w:val="00DD7DD7"/>
    <w:rsid w:val="00DE2293"/>
    <w:rsid w:val="00DE31A3"/>
    <w:rsid w:val="00DF53B4"/>
    <w:rsid w:val="00DF698E"/>
    <w:rsid w:val="00E1243E"/>
    <w:rsid w:val="00E17C65"/>
    <w:rsid w:val="00E267FD"/>
    <w:rsid w:val="00E32591"/>
    <w:rsid w:val="00E3273E"/>
    <w:rsid w:val="00E32AD9"/>
    <w:rsid w:val="00E32B80"/>
    <w:rsid w:val="00E33960"/>
    <w:rsid w:val="00E41D1E"/>
    <w:rsid w:val="00E506E8"/>
    <w:rsid w:val="00E50E12"/>
    <w:rsid w:val="00E52E48"/>
    <w:rsid w:val="00E52FBB"/>
    <w:rsid w:val="00E63A94"/>
    <w:rsid w:val="00E70692"/>
    <w:rsid w:val="00E82241"/>
    <w:rsid w:val="00E85CCB"/>
    <w:rsid w:val="00E90130"/>
    <w:rsid w:val="00EB0CCE"/>
    <w:rsid w:val="00EB1772"/>
    <w:rsid w:val="00EC0BC0"/>
    <w:rsid w:val="00EC0C31"/>
    <w:rsid w:val="00EC754F"/>
    <w:rsid w:val="00ED65F8"/>
    <w:rsid w:val="00ED7BFD"/>
    <w:rsid w:val="00EF14C8"/>
    <w:rsid w:val="00EF192B"/>
    <w:rsid w:val="00EF4B56"/>
    <w:rsid w:val="00F01B04"/>
    <w:rsid w:val="00F070A8"/>
    <w:rsid w:val="00F0727E"/>
    <w:rsid w:val="00F12B16"/>
    <w:rsid w:val="00F1549F"/>
    <w:rsid w:val="00F2396A"/>
    <w:rsid w:val="00F327C0"/>
    <w:rsid w:val="00F368EF"/>
    <w:rsid w:val="00F36AF5"/>
    <w:rsid w:val="00F40418"/>
    <w:rsid w:val="00F44ADC"/>
    <w:rsid w:val="00F4777E"/>
    <w:rsid w:val="00F54DFB"/>
    <w:rsid w:val="00F63864"/>
    <w:rsid w:val="00F653C9"/>
    <w:rsid w:val="00F7343C"/>
    <w:rsid w:val="00F762CE"/>
    <w:rsid w:val="00F9389E"/>
    <w:rsid w:val="00FA5AB2"/>
    <w:rsid w:val="00FA71C4"/>
    <w:rsid w:val="00FB3E34"/>
    <w:rsid w:val="00FB6B13"/>
    <w:rsid w:val="00FC2244"/>
    <w:rsid w:val="00FC2CF9"/>
    <w:rsid w:val="00FC3541"/>
    <w:rsid w:val="00FD39E5"/>
    <w:rsid w:val="00FD4257"/>
    <w:rsid w:val="00FE00D5"/>
    <w:rsid w:val="00FE1F3E"/>
    <w:rsid w:val="00FE671C"/>
    <w:rsid w:val="00FE6A9E"/>
    <w:rsid w:val="00FF22FD"/>
    <w:rsid w:val="00FF6479"/>
    <w:rsid w:val="014338AD"/>
    <w:rsid w:val="01722330"/>
    <w:rsid w:val="01E42B94"/>
    <w:rsid w:val="024558A9"/>
    <w:rsid w:val="0281470E"/>
    <w:rsid w:val="02DA1E6E"/>
    <w:rsid w:val="03E557ED"/>
    <w:rsid w:val="042C5901"/>
    <w:rsid w:val="04455FF1"/>
    <w:rsid w:val="0464491F"/>
    <w:rsid w:val="04C96631"/>
    <w:rsid w:val="04E75CDD"/>
    <w:rsid w:val="051A1ABB"/>
    <w:rsid w:val="05A36F5B"/>
    <w:rsid w:val="05C46E1F"/>
    <w:rsid w:val="07C81993"/>
    <w:rsid w:val="07DF11B4"/>
    <w:rsid w:val="08643511"/>
    <w:rsid w:val="091207F0"/>
    <w:rsid w:val="0A2166A1"/>
    <w:rsid w:val="0A9327C3"/>
    <w:rsid w:val="0AC34C18"/>
    <w:rsid w:val="0B0E6E1C"/>
    <w:rsid w:val="0B497F1C"/>
    <w:rsid w:val="0B537796"/>
    <w:rsid w:val="0B745B7E"/>
    <w:rsid w:val="0C2857C2"/>
    <w:rsid w:val="0C3A5FD8"/>
    <w:rsid w:val="0C576F2A"/>
    <w:rsid w:val="0CDF4D43"/>
    <w:rsid w:val="0D436F5F"/>
    <w:rsid w:val="0D571CAE"/>
    <w:rsid w:val="0DA10224"/>
    <w:rsid w:val="0DFD66FE"/>
    <w:rsid w:val="0E060087"/>
    <w:rsid w:val="0E5519F5"/>
    <w:rsid w:val="0E656C4F"/>
    <w:rsid w:val="0E8E618F"/>
    <w:rsid w:val="0EFE5203"/>
    <w:rsid w:val="0F2340E2"/>
    <w:rsid w:val="0F9D0DBB"/>
    <w:rsid w:val="0FA67A55"/>
    <w:rsid w:val="104047DF"/>
    <w:rsid w:val="10717530"/>
    <w:rsid w:val="10753CFB"/>
    <w:rsid w:val="111523B0"/>
    <w:rsid w:val="11EE4F00"/>
    <w:rsid w:val="121904F3"/>
    <w:rsid w:val="123011D0"/>
    <w:rsid w:val="12605B37"/>
    <w:rsid w:val="12870D8D"/>
    <w:rsid w:val="13085DF2"/>
    <w:rsid w:val="138467C1"/>
    <w:rsid w:val="14661F80"/>
    <w:rsid w:val="14DC0435"/>
    <w:rsid w:val="15007FAD"/>
    <w:rsid w:val="154725E2"/>
    <w:rsid w:val="15A94160"/>
    <w:rsid w:val="16007AB2"/>
    <w:rsid w:val="1617072F"/>
    <w:rsid w:val="166A7552"/>
    <w:rsid w:val="17B421B1"/>
    <w:rsid w:val="17BA4351"/>
    <w:rsid w:val="184D45F0"/>
    <w:rsid w:val="193E6E98"/>
    <w:rsid w:val="198E60F1"/>
    <w:rsid w:val="19CC7368"/>
    <w:rsid w:val="1A045F76"/>
    <w:rsid w:val="1A246465"/>
    <w:rsid w:val="1A5C68A4"/>
    <w:rsid w:val="1A7411B7"/>
    <w:rsid w:val="1AB35A57"/>
    <w:rsid w:val="1ABC48F0"/>
    <w:rsid w:val="1B2B569D"/>
    <w:rsid w:val="1B420AF3"/>
    <w:rsid w:val="1B710E81"/>
    <w:rsid w:val="1C4802C6"/>
    <w:rsid w:val="1D1E4D75"/>
    <w:rsid w:val="1D3F69CF"/>
    <w:rsid w:val="1D4B6331"/>
    <w:rsid w:val="1E205A53"/>
    <w:rsid w:val="1E2C0951"/>
    <w:rsid w:val="1E424571"/>
    <w:rsid w:val="1E7A40FA"/>
    <w:rsid w:val="1EFD0C84"/>
    <w:rsid w:val="1F8E7ECA"/>
    <w:rsid w:val="1FB15C49"/>
    <w:rsid w:val="1FD73363"/>
    <w:rsid w:val="1FE80183"/>
    <w:rsid w:val="1FF6169F"/>
    <w:rsid w:val="20FD4FA5"/>
    <w:rsid w:val="21131C83"/>
    <w:rsid w:val="21827983"/>
    <w:rsid w:val="21A74E48"/>
    <w:rsid w:val="21D837BB"/>
    <w:rsid w:val="21E23739"/>
    <w:rsid w:val="23515801"/>
    <w:rsid w:val="23A32797"/>
    <w:rsid w:val="23B511B7"/>
    <w:rsid w:val="241410F7"/>
    <w:rsid w:val="244E1E44"/>
    <w:rsid w:val="245E302D"/>
    <w:rsid w:val="2556149D"/>
    <w:rsid w:val="26086C3B"/>
    <w:rsid w:val="268A072A"/>
    <w:rsid w:val="282F1DDB"/>
    <w:rsid w:val="286B50E2"/>
    <w:rsid w:val="2949163F"/>
    <w:rsid w:val="2A0D226F"/>
    <w:rsid w:val="2A44101D"/>
    <w:rsid w:val="2B2E74D8"/>
    <w:rsid w:val="2BBF7099"/>
    <w:rsid w:val="2BC05BA1"/>
    <w:rsid w:val="2C077995"/>
    <w:rsid w:val="2C346AF5"/>
    <w:rsid w:val="2C541197"/>
    <w:rsid w:val="2D34325B"/>
    <w:rsid w:val="2D44666E"/>
    <w:rsid w:val="2D905EAE"/>
    <w:rsid w:val="2E701CEF"/>
    <w:rsid w:val="2EB17C90"/>
    <w:rsid w:val="2ED653B3"/>
    <w:rsid w:val="2EE97D16"/>
    <w:rsid w:val="2F2B399A"/>
    <w:rsid w:val="2FB24BF0"/>
    <w:rsid w:val="30137E05"/>
    <w:rsid w:val="309117EF"/>
    <w:rsid w:val="30BB7B77"/>
    <w:rsid w:val="312E4487"/>
    <w:rsid w:val="31734CC5"/>
    <w:rsid w:val="3269510B"/>
    <w:rsid w:val="3293788C"/>
    <w:rsid w:val="32977517"/>
    <w:rsid w:val="32B1322B"/>
    <w:rsid w:val="32FD55EC"/>
    <w:rsid w:val="334E450D"/>
    <w:rsid w:val="33B10EA5"/>
    <w:rsid w:val="33D81028"/>
    <w:rsid w:val="33DF5308"/>
    <w:rsid w:val="33F310BA"/>
    <w:rsid w:val="344A46B3"/>
    <w:rsid w:val="35B025A1"/>
    <w:rsid w:val="36690618"/>
    <w:rsid w:val="3685611A"/>
    <w:rsid w:val="3688238D"/>
    <w:rsid w:val="36A84F7B"/>
    <w:rsid w:val="36D15888"/>
    <w:rsid w:val="378E25EC"/>
    <w:rsid w:val="37DD3BC5"/>
    <w:rsid w:val="3810372D"/>
    <w:rsid w:val="383E006C"/>
    <w:rsid w:val="38407C10"/>
    <w:rsid w:val="3875032D"/>
    <w:rsid w:val="394E69A7"/>
    <w:rsid w:val="39854E6E"/>
    <w:rsid w:val="39A33D5F"/>
    <w:rsid w:val="3A073E4C"/>
    <w:rsid w:val="3C2B6D87"/>
    <w:rsid w:val="3C823485"/>
    <w:rsid w:val="3C9074E5"/>
    <w:rsid w:val="3CCC2D27"/>
    <w:rsid w:val="3CEE174C"/>
    <w:rsid w:val="3D161594"/>
    <w:rsid w:val="3D6F7A42"/>
    <w:rsid w:val="3DE77373"/>
    <w:rsid w:val="3EA21DE3"/>
    <w:rsid w:val="3EED1425"/>
    <w:rsid w:val="3F3D5E07"/>
    <w:rsid w:val="3F3E203E"/>
    <w:rsid w:val="3FC26D19"/>
    <w:rsid w:val="407917D8"/>
    <w:rsid w:val="40847C73"/>
    <w:rsid w:val="41924C36"/>
    <w:rsid w:val="41954047"/>
    <w:rsid w:val="41ED2951"/>
    <w:rsid w:val="421E089D"/>
    <w:rsid w:val="42443926"/>
    <w:rsid w:val="4251000B"/>
    <w:rsid w:val="429835FF"/>
    <w:rsid w:val="42A8770A"/>
    <w:rsid w:val="43476AC4"/>
    <w:rsid w:val="43506970"/>
    <w:rsid w:val="43C82970"/>
    <w:rsid w:val="443E60F5"/>
    <w:rsid w:val="447F0030"/>
    <w:rsid w:val="44971CD1"/>
    <w:rsid w:val="44C85ABB"/>
    <w:rsid w:val="44E90E61"/>
    <w:rsid w:val="452E6867"/>
    <w:rsid w:val="463F3DEE"/>
    <w:rsid w:val="46547932"/>
    <w:rsid w:val="46B175F3"/>
    <w:rsid w:val="46CB53EF"/>
    <w:rsid w:val="47111431"/>
    <w:rsid w:val="473F6073"/>
    <w:rsid w:val="47590C4D"/>
    <w:rsid w:val="47821972"/>
    <w:rsid w:val="4791488A"/>
    <w:rsid w:val="47993CA2"/>
    <w:rsid w:val="485E5613"/>
    <w:rsid w:val="4919704F"/>
    <w:rsid w:val="4B8B67AA"/>
    <w:rsid w:val="4CC8173D"/>
    <w:rsid w:val="4DB057CC"/>
    <w:rsid w:val="4DCA28A4"/>
    <w:rsid w:val="4DCC3EF8"/>
    <w:rsid w:val="4E4D5283"/>
    <w:rsid w:val="4E5C0F70"/>
    <w:rsid w:val="4F166D35"/>
    <w:rsid w:val="4F2C493E"/>
    <w:rsid w:val="4FCC6C59"/>
    <w:rsid w:val="507F4DF2"/>
    <w:rsid w:val="50D13EC2"/>
    <w:rsid w:val="50E346FE"/>
    <w:rsid w:val="51900BCC"/>
    <w:rsid w:val="51AA53CF"/>
    <w:rsid w:val="51C63383"/>
    <w:rsid w:val="52105FE7"/>
    <w:rsid w:val="525E2F0E"/>
    <w:rsid w:val="527145DB"/>
    <w:rsid w:val="5295489F"/>
    <w:rsid w:val="52BB5DC3"/>
    <w:rsid w:val="52C76708"/>
    <w:rsid w:val="52EF4625"/>
    <w:rsid w:val="531C65D6"/>
    <w:rsid w:val="533E51F2"/>
    <w:rsid w:val="54676BD9"/>
    <w:rsid w:val="55360955"/>
    <w:rsid w:val="553822D9"/>
    <w:rsid w:val="55D957BA"/>
    <w:rsid w:val="562D6438"/>
    <w:rsid w:val="5748378F"/>
    <w:rsid w:val="5756170B"/>
    <w:rsid w:val="5846521D"/>
    <w:rsid w:val="58602599"/>
    <w:rsid w:val="58751B48"/>
    <w:rsid w:val="58BE6303"/>
    <w:rsid w:val="591A405E"/>
    <w:rsid w:val="595D6DBF"/>
    <w:rsid w:val="59E22F11"/>
    <w:rsid w:val="5A101185"/>
    <w:rsid w:val="5A436346"/>
    <w:rsid w:val="5A6B24A4"/>
    <w:rsid w:val="5AC42429"/>
    <w:rsid w:val="5AEA7824"/>
    <w:rsid w:val="5B510119"/>
    <w:rsid w:val="5B754B43"/>
    <w:rsid w:val="5BF36070"/>
    <w:rsid w:val="5CA103F3"/>
    <w:rsid w:val="5CA51B97"/>
    <w:rsid w:val="5D7967D0"/>
    <w:rsid w:val="5DA3264E"/>
    <w:rsid w:val="5DB22AB3"/>
    <w:rsid w:val="5DB34A7A"/>
    <w:rsid w:val="5E097866"/>
    <w:rsid w:val="5F1C3452"/>
    <w:rsid w:val="5F1E4399"/>
    <w:rsid w:val="5F335DCF"/>
    <w:rsid w:val="5FCA5107"/>
    <w:rsid w:val="5FFC6649"/>
    <w:rsid w:val="6015127C"/>
    <w:rsid w:val="60D850F2"/>
    <w:rsid w:val="60DD6C1E"/>
    <w:rsid w:val="60FA0390"/>
    <w:rsid w:val="614717F1"/>
    <w:rsid w:val="61785B1C"/>
    <w:rsid w:val="62692DA6"/>
    <w:rsid w:val="626E4680"/>
    <w:rsid w:val="62A94218"/>
    <w:rsid w:val="62B976FE"/>
    <w:rsid w:val="639A3DAE"/>
    <w:rsid w:val="63B4493A"/>
    <w:rsid w:val="63CB0886"/>
    <w:rsid w:val="63CF0768"/>
    <w:rsid w:val="64FB04D0"/>
    <w:rsid w:val="65020867"/>
    <w:rsid w:val="65181366"/>
    <w:rsid w:val="653D104B"/>
    <w:rsid w:val="654F3237"/>
    <w:rsid w:val="65DB1FCC"/>
    <w:rsid w:val="670B3991"/>
    <w:rsid w:val="670C3316"/>
    <w:rsid w:val="674D1CCA"/>
    <w:rsid w:val="67695D7D"/>
    <w:rsid w:val="680636EB"/>
    <w:rsid w:val="6853530A"/>
    <w:rsid w:val="68C52BA2"/>
    <w:rsid w:val="68D57ED3"/>
    <w:rsid w:val="697D755B"/>
    <w:rsid w:val="6A71145C"/>
    <w:rsid w:val="6AD021BC"/>
    <w:rsid w:val="6B0660A7"/>
    <w:rsid w:val="6C0B6D46"/>
    <w:rsid w:val="6D5114DB"/>
    <w:rsid w:val="6D927280"/>
    <w:rsid w:val="6D9A14EE"/>
    <w:rsid w:val="6DD8224B"/>
    <w:rsid w:val="6DFC1305"/>
    <w:rsid w:val="6E872593"/>
    <w:rsid w:val="6EC00BE2"/>
    <w:rsid w:val="6F0B57F7"/>
    <w:rsid w:val="6F8B3875"/>
    <w:rsid w:val="6FAD163D"/>
    <w:rsid w:val="7033180F"/>
    <w:rsid w:val="704854E0"/>
    <w:rsid w:val="71F90DE2"/>
    <w:rsid w:val="72AA7CFF"/>
    <w:rsid w:val="73734595"/>
    <w:rsid w:val="73CC00FF"/>
    <w:rsid w:val="73E905AA"/>
    <w:rsid w:val="74D50BA9"/>
    <w:rsid w:val="74E05C5A"/>
    <w:rsid w:val="74F428C2"/>
    <w:rsid w:val="758072D2"/>
    <w:rsid w:val="76150D7B"/>
    <w:rsid w:val="76903ECF"/>
    <w:rsid w:val="76FC5365"/>
    <w:rsid w:val="77205628"/>
    <w:rsid w:val="77284C3A"/>
    <w:rsid w:val="77C57D9C"/>
    <w:rsid w:val="77FB40E0"/>
    <w:rsid w:val="78404593"/>
    <w:rsid w:val="785310BB"/>
    <w:rsid w:val="7901409B"/>
    <w:rsid w:val="7A1E4B10"/>
    <w:rsid w:val="7AC54FD2"/>
    <w:rsid w:val="7B333D19"/>
    <w:rsid w:val="7CB05C0E"/>
    <w:rsid w:val="7CB55189"/>
    <w:rsid w:val="7CE301CC"/>
    <w:rsid w:val="7D9D6F8A"/>
    <w:rsid w:val="7E0C4C61"/>
    <w:rsid w:val="7E526249"/>
    <w:rsid w:val="7E684AE3"/>
    <w:rsid w:val="7E953FC2"/>
    <w:rsid w:val="7F347560"/>
    <w:rsid w:val="7FE13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仿宋"/>
      <w:kern w:val="2"/>
      <w:sz w:val="32"/>
      <w:szCs w:val="3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5">
    <w:name w:val="annotation text"/>
    <w:basedOn w:val="1"/>
    <w:link w:val="18"/>
    <w:qFormat/>
    <w:uiPriority w:val="0"/>
    <w:pPr>
      <w:jc w:val="left"/>
    </w:pPr>
  </w:style>
  <w:style w:type="paragraph" w:styleId="6">
    <w:name w:val="Balloon Text"/>
    <w:basedOn w:val="1"/>
    <w:link w:val="19"/>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kern w:val="0"/>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Body Text First Indent"/>
    <w:basedOn w:val="2"/>
    <w:qFormat/>
    <w:uiPriority w:val="99"/>
    <w:pPr>
      <w:spacing w:line="560" w:lineRule="exact"/>
      <w:ind w:firstLine="721" w:firstLineChars="200"/>
    </w:pPr>
    <w:rPr>
      <w:rFonts w:eastAsia="仿宋_GB231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nhideWhenUsed/>
    <w:qFormat/>
    <w:uiPriority w:val="0"/>
    <w:rPr>
      <w:rFonts w:hint="default"/>
      <w:sz w:val="24"/>
      <w:szCs w:val="24"/>
    </w:rPr>
  </w:style>
  <w:style w:type="character" w:styleId="14">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2"/>
    <w:unhideWhenUsed/>
    <w:qFormat/>
    <w:uiPriority w:val="99"/>
    <w:rPr>
      <w:color w:val="0000FF"/>
      <w:u w:val="single"/>
    </w:rPr>
  </w:style>
  <w:style w:type="character" w:customStyle="1" w:styleId="16">
    <w:name w:val="批注主题 Char"/>
    <w:link w:val="17"/>
    <w:semiHidden/>
    <w:qFormat/>
    <w:uiPriority w:val="0"/>
    <w:rPr>
      <w:rFonts w:ascii="Times New Roman" w:hAnsi="Times New Roman" w:eastAsia="宋体" w:cs="Times New Roman"/>
      <w:b/>
      <w:bCs/>
      <w:kern w:val="2"/>
      <w:sz w:val="21"/>
      <w:szCs w:val="24"/>
    </w:rPr>
  </w:style>
  <w:style w:type="paragraph" w:customStyle="1" w:styleId="17">
    <w:name w:val="批注主题1"/>
    <w:basedOn w:val="5"/>
    <w:next w:val="5"/>
    <w:link w:val="16"/>
    <w:qFormat/>
    <w:uiPriority w:val="0"/>
    <w:rPr>
      <w:b/>
      <w:bCs/>
    </w:rPr>
  </w:style>
  <w:style w:type="character" w:customStyle="1" w:styleId="18">
    <w:name w:val="批注文字 Char"/>
    <w:link w:val="5"/>
    <w:semiHidden/>
    <w:qFormat/>
    <w:uiPriority w:val="0"/>
    <w:rPr>
      <w:rFonts w:ascii="Times New Roman" w:hAnsi="Times New Roman" w:eastAsia="宋体" w:cs="Times New Roman"/>
      <w:kern w:val="2"/>
      <w:sz w:val="21"/>
      <w:szCs w:val="24"/>
    </w:rPr>
  </w:style>
  <w:style w:type="character" w:customStyle="1" w:styleId="19">
    <w:name w:val="批注框文本 Char"/>
    <w:link w:val="6"/>
    <w:semiHidden/>
    <w:qFormat/>
    <w:uiPriority w:val="0"/>
    <w:rPr>
      <w:rFonts w:ascii="Times New Roman" w:hAnsi="Times New Roman" w:eastAsia="宋体" w:cs="Times New Roman"/>
      <w:kern w:val="2"/>
      <w:sz w:val="18"/>
      <w:szCs w:val="18"/>
    </w:rPr>
  </w:style>
  <w:style w:type="character" w:customStyle="1" w:styleId="20">
    <w:name w:val="页脚 Char"/>
    <w:link w:val="7"/>
    <w:qFormat/>
    <w:uiPriority w:val="0"/>
    <w:rPr>
      <w:sz w:val="18"/>
      <w:szCs w:val="18"/>
    </w:rPr>
  </w:style>
  <w:style w:type="character" w:customStyle="1" w:styleId="21">
    <w:name w:val="页眉 Char"/>
    <w:link w:val="8"/>
    <w:semiHidden/>
    <w:qFormat/>
    <w:uiPriority w:val="0"/>
    <w:rPr>
      <w:sz w:val="18"/>
      <w:szCs w:val="18"/>
    </w:rPr>
  </w:style>
  <w:style w:type="character" w:customStyle="1" w:styleId="22">
    <w:name w:val="批注引用1"/>
    <w:qFormat/>
    <w:uiPriority w:val="0"/>
    <w:rPr>
      <w:sz w:val="21"/>
      <w:szCs w:val="21"/>
    </w:rPr>
  </w:style>
  <w:style w:type="character" w:customStyle="1" w:styleId="23">
    <w:name w:val="页码1"/>
    <w:basedOn w:val="12"/>
    <w:qFormat/>
    <w:uiPriority w:val="0"/>
  </w:style>
  <w:style w:type="character" w:customStyle="1" w:styleId="24">
    <w:name w:val="font41"/>
    <w:basedOn w:val="12"/>
    <w:qFormat/>
    <w:uiPriority w:val="0"/>
    <w:rPr>
      <w:rFonts w:hint="eastAsia" w:ascii="宋体" w:hAnsi="宋体" w:eastAsia="宋体" w:cs="宋体"/>
      <w:b/>
      <w:color w:val="000000"/>
      <w:sz w:val="22"/>
      <w:szCs w:val="22"/>
      <w:u w:val="none"/>
    </w:rPr>
  </w:style>
  <w:style w:type="character" w:customStyle="1" w:styleId="25">
    <w:name w:val="font61"/>
    <w:basedOn w:val="12"/>
    <w:qFormat/>
    <w:uiPriority w:val="0"/>
    <w:rPr>
      <w:rFonts w:hint="eastAsia" w:ascii="仿宋" w:hAnsi="仿宋" w:eastAsia="仿宋" w:cs="仿宋"/>
      <w:b/>
      <w:color w:val="000000"/>
      <w:sz w:val="22"/>
      <w:szCs w:val="22"/>
      <w:u w:val="none"/>
    </w:rPr>
  </w:style>
  <w:style w:type="character" w:customStyle="1" w:styleId="26">
    <w:name w:val="font31"/>
    <w:basedOn w:val="12"/>
    <w:qFormat/>
    <w:uiPriority w:val="0"/>
    <w:rPr>
      <w:rFonts w:hint="eastAsia" w:ascii="华文仿宋" w:hAnsi="华文仿宋" w:eastAsia="华文仿宋" w:cs="华文仿宋"/>
      <w:color w:val="000000"/>
      <w:sz w:val="22"/>
      <w:szCs w:val="22"/>
      <w:u w:val="none"/>
    </w:rPr>
  </w:style>
  <w:style w:type="character" w:customStyle="1" w:styleId="27">
    <w:name w:val="font21"/>
    <w:basedOn w:val="12"/>
    <w:qFormat/>
    <w:uiPriority w:val="0"/>
    <w:rPr>
      <w:rFonts w:hint="eastAsia" w:ascii="仿宋" w:hAnsi="仿宋" w:eastAsia="仿宋" w:cs="仿宋"/>
      <w:color w:val="000000"/>
      <w:sz w:val="22"/>
      <w:szCs w:val="22"/>
      <w:u w:val="none"/>
    </w:rPr>
  </w:style>
  <w:style w:type="paragraph" w:customStyle="1" w:styleId="28">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29">
    <w:name w:val="列出段落2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styleId="30">
    <w:name w:val="List Paragraph"/>
    <w:basedOn w:val="1"/>
    <w:qFormat/>
    <w:uiPriority w:val="99"/>
    <w:pPr>
      <w:ind w:firstLine="420" w:firstLineChars="200"/>
    </w:pPr>
  </w:style>
  <w:style w:type="character" w:customStyle="1" w:styleId="31">
    <w:name w:val="font91"/>
    <w:basedOn w:val="12"/>
    <w:qFormat/>
    <w:uiPriority w:val="0"/>
    <w:rPr>
      <w:rFonts w:hint="default" w:ascii="华文中宋" w:hAnsi="华文中宋" w:eastAsia="华文中宋" w:cs="华文中宋"/>
      <w:b/>
      <w:bCs/>
      <w:color w:val="000000"/>
      <w:sz w:val="30"/>
      <w:szCs w:val="30"/>
      <w:u w:val="none"/>
    </w:rPr>
  </w:style>
  <w:style w:type="character" w:customStyle="1" w:styleId="32">
    <w:name w:val="font101"/>
    <w:basedOn w:val="12"/>
    <w:qFormat/>
    <w:uiPriority w:val="0"/>
    <w:rPr>
      <w:rFonts w:hint="eastAsia" w:ascii="宋体" w:hAnsi="宋体" w:eastAsia="宋体" w:cs="宋体"/>
      <w:b/>
      <w:bCs/>
      <w:color w:val="000000"/>
      <w:sz w:val="30"/>
      <w:szCs w:val="30"/>
      <w:u w:val="none"/>
    </w:rPr>
  </w:style>
  <w:style w:type="paragraph" w:customStyle="1" w:styleId="33">
    <w:name w:val="Heading #1|1"/>
    <w:basedOn w:val="1"/>
    <w:qFormat/>
    <w:uiPriority w:val="0"/>
    <w:pPr>
      <w:spacing w:after="600" w:line="1392" w:lineRule="exact"/>
      <w:outlineLvl w:val="0"/>
    </w:pPr>
    <w:rPr>
      <w:rFonts w:ascii="宋体" w:hAnsi="宋体" w:eastAsia="宋体" w:cs="宋体"/>
      <w:color w:val="D45660"/>
      <w:sz w:val="94"/>
      <w:szCs w:val="9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21</Pages>
  <Words>8575</Words>
  <Characters>8936</Characters>
  <Lines>66</Lines>
  <Paragraphs>18</Paragraphs>
  <TotalTime>13</TotalTime>
  <ScaleCrop>false</ScaleCrop>
  <LinksUpToDate>false</LinksUpToDate>
  <CharactersWithSpaces>9241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2022-03-31T09:01:00Z</dcterms:created>
  <dc:creator>yh</dc:creator>
  <cp:lastModifiedBy>子休1407315115</cp:lastModifiedBy>
  <cp:lastPrinted>2022-03-24T01:54:00Z</cp:lastPrinted>
  <dcterms:modified xsi:type="dcterms:W3CDTF">2022-04-11T08:57:48Z</dcterms:modified>
  <dc:title>zx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55F11CC671A84AEFBAA9900F86B05FF6</vt:lpwstr>
  </property>
</Properties>
</file>