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2023年中小企业商业价值信用贷款对接活动计划表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0"/>
        </w:rPr>
      </w:pP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191"/>
        <w:gridCol w:w="1809"/>
        <w:gridCol w:w="2915"/>
        <w:gridCol w:w="1810"/>
        <w:gridCol w:w="181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序号</w:t>
            </w: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承办单位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活动地点</w:t>
            </w: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活动内容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计划时间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联系人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E7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819</Words>
  <Characters>876</Characters>
  <Paragraphs>65</Paragraphs>
  <TotalTime>7</TotalTime>
  <ScaleCrop>false</ScaleCrop>
  <LinksUpToDate>false</LinksUpToDate>
  <CharactersWithSpaces>933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2023-03-27T12:04:00Z</dcterms:created>
  <dc:creator>xixi</dc:creator>
  <cp:lastModifiedBy>梦之蓝</cp:lastModifiedBy>
  <dcterms:modified xsi:type="dcterms:W3CDTF">2023-03-31T01:17:59Z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947A7A0CD19F45AB81E2195ABF55880B</vt:lpwstr>
  </property>
</Properties>
</file>