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auto"/>
          <w:spacing w:val="0"/>
          <w:sz w:val="30"/>
          <w:szCs w:val="30"/>
        </w:rPr>
      </w:pPr>
      <w:bookmarkStart w:id="0" w:name="_GoBack"/>
      <w:r>
        <w:rPr>
          <w:rFonts w:hint="eastAsia" w:asciiTheme="majorEastAsia" w:hAnsiTheme="majorEastAsia" w:eastAsiaTheme="majorEastAsia" w:cstheme="majorEastAsia"/>
          <w:b/>
          <w:bCs/>
          <w:i w:val="0"/>
          <w:iCs w:val="0"/>
          <w:caps w:val="0"/>
          <w:color w:val="auto"/>
          <w:spacing w:val="0"/>
          <w:kern w:val="0"/>
          <w:sz w:val="30"/>
          <w:szCs w:val="30"/>
          <w:bdr w:val="none" w:color="auto" w:sz="0" w:space="0"/>
          <w:lang w:val="en-US" w:eastAsia="zh-CN" w:bidi="ar"/>
        </w:rPr>
        <w:t>云溪区科技和工业信息化局2023年工作总结及2024年工作思路</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left"/>
        <w:rPr>
          <w:rFonts w:hint="eastAsia" w:asciiTheme="minorEastAsia" w:hAnsiTheme="minorEastAsia" w:eastAsiaTheme="minorEastAsia" w:cstheme="minorEastAsia"/>
          <w:i w:val="0"/>
          <w:iCs w:val="0"/>
          <w:caps w:val="0"/>
          <w:color w:val="C6C6C6"/>
          <w:spacing w:val="0"/>
          <w:sz w:val="22"/>
          <w:szCs w:val="22"/>
        </w:rPr>
      </w:pPr>
      <w:r>
        <w:rPr>
          <w:rFonts w:hint="eastAsia" w:asciiTheme="minorEastAsia" w:hAnsiTheme="minorEastAsia" w:eastAsiaTheme="minorEastAsia" w:cstheme="minorEastAsia"/>
          <w:i w:val="0"/>
          <w:iCs w:val="0"/>
          <w:caps w:val="0"/>
          <w:color w:val="333333"/>
          <w:spacing w:val="0"/>
          <w:kern w:val="0"/>
          <w:sz w:val="22"/>
          <w:szCs w:val="22"/>
          <w:u w:val="none"/>
          <w:bdr w:val="none" w:color="auto" w:sz="0" w:space="0"/>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2"/>
          <w:szCs w:val="22"/>
          <w:u w:val="none"/>
          <w:bdr w:val="none" w:color="auto" w:sz="0" w:space="0"/>
          <w:lang w:val="en-US" w:eastAsia="zh-CN" w:bidi="ar"/>
        </w:rPr>
        <w:instrText xml:space="preserve"> HYPERLINK "javascript:print()" </w:instrText>
      </w:r>
      <w:r>
        <w:rPr>
          <w:rFonts w:hint="eastAsia" w:asciiTheme="minorEastAsia" w:hAnsiTheme="minorEastAsia" w:eastAsiaTheme="minorEastAsia" w:cstheme="minorEastAsia"/>
          <w:i w:val="0"/>
          <w:iCs w:val="0"/>
          <w:caps w:val="0"/>
          <w:color w:val="333333"/>
          <w:spacing w:val="0"/>
          <w:kern w:val="0"/>
          <w:sz w:val="22"/>
          <w:szCs w:val="22"/>
          <w:u w:val="none"/>
          <w:bdr w:val="none" w:color="auto" w:sz="0" w:space="0"/>
          <w:lang w:val="en-US" w:eastAsia="zh-CN" w:bidi="ar"/>
        </w:rPr>
        <w:fldChar w:fldCharType="separate"/>
      </w:r>
      <w:r>
        <w:rPr>
          <w:rFonts w:hint="eastAsia" w:asciiTheme="minorEastAsia" w:hAnsiTheme="minorEastAsia" w:eastAsiaTheme="minorEastAsia" w:cstheme="minorEastAsia"/>
          <w:i w:val="0"/>
          <w:iCs w:val="0"/>
          <w:caps w:val="0"/>
          <w:color w:val="333333"/>
          <w:spacing w:val="0"/>
          <w:kern w:val="0"/>
          <w:sz w:val="22"/>
          <w:szCs w:val="22"/>
          <w:u w:val="none"/>
          <w:bdr w:val="none" w:color="auto" w:sz="0" w:space="0"/>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一、2023年，交出拼搏实干科工答卷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1.创新发展实现新跨越。成功争创省级创新型区。省级创新型区申报创建工作一直深受书记、区长重视，并将其列入六届区委党代会及近四年区政府工作报告重要内容，今年上半年，我区顺利通过省市创新型区申报答辩，云溪以“科技支撑产业发展”为主题成功入选湖南省第二批创新型县（市、区）建设名单。7月7日，省科技厅下发《关于支持岳阳市云溪区建设省级创新型区的函》，历时四年我区正式完成省级创新型区创建工作，为云溪助力湖南擦亮“新三样”中的“现代石化”新名片打下坚实基础。硬核攻克创新攻坚仗。高效推进第三代己内酰胺绿色生产成套工艺核心催化材料和四甲基联苯二酚开发研究与产业化，两大关键核心技术有序落地；持续推进技术合同登记工作，完成技术合同登记项数180余份，技术合同交易额达20亿元，同比增长33%；扎实推进各类省市科技创新平台建设，凯门水性、弘润化工、恒忠机械、长炼新材料4家省级企业技术中心成功获批，巴陵石化热塑性弹性体技术创新中心成功组建，印遇龙院士创新团队弘润苯甲酸研究基地、湖南现代石化产业协同创新研究院正式挂牌成立；积极推进万众创新，争取市政府举办的现代石化专业赛落户云溪并成功承办赛事，我区参赛企业凯门水性、前驱新材料分别获得创新创业大赛市赛成长组、小微组第一名，两家企业随后夺得国赛新材料领域半决赛优秀奖称号，凯门水性更是晋级总决赛并入围全国100强，我局也荣获2023年省创新创业大赛优秀组织奖并收到省科技厅感谢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2.工业经济步入新阶段。今年7月，配合区统计局等部门单位成功迎接国家统计专项督察，我区工业统计数据报送差错率认定为13.48%，为本轮国家统计专项督察6省12地市24个县市区中差错率最低县区。国家统计专项督察促使全区工业上报数据进一步真实精准，同时受全年化工行业发展整体形势特别是两厂生产影响，全区工业经济轻装上阵，步入发展新阶段。统计督察后，我们积极协调上级统计部门，推动开展全区工业经济统计数据修定工作，目前我局配合区统计局完成工业企业经济数据全面修定，这样既能减小国家统计专项督察带来的影响，又能全面真实反映我区工业经济运行情况。预计年底和明年，随着炼化一体化、己内酰胺等一批重点项目相继投产，我区工业经济增速和总量将呈现高速增长态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3.产业升级迈出新步伐。企业转型持续深化。共有9家企业首次申报高新技术企业，年底高新技术企业总数预计达66家，科技型中小企业入库数量较去年翻了一番，总数达到140家；隆兴实业、中翔化工、聚成化工等10家企业获批省级专精特新中小企业，数量同比增长400%，振兴中顺成功申报国家级专精特新“小巨人”企业；长炼新材料等2家企业获批2023年度“湖湘精品”中小企业品牌能力提升行动试点企业，岳阳东方雨虹防水技术有限责任公司获评湖南省智能制造标杆车间，聚仁化工关键产品技术攻关成功揭榜；全区新增湖南省制造业单项冠军产品5个、省级工业新产品1个、省原材料工业“三品”标杆企业2家、国家级绿色工厂1家、省级绿色工厂1家。项目建设来势向好。己内酰胺产业链搬迁与升级转型发展项目完成试生产，100万吨/年乙烯炼化一体化项目可研报告已批复，正在组织总体设计审查，12月26日将举行奠基仪式；1-9月完成产业固定资产投资66.19亿元，其中工业投资58.71亿元，工业技改投资25.47亿元，全区现有规模以上工业企业122家，其中产值过百亿2家、过十亿23家、过亿35家。数字化转型纵深推进。随着全省“智赋万企”行动的不断深入，全区工业企业的数字化转型意识进一步巩固，企业数字化融合管理和智能改造意识明显增强，今年全区发展产业链数字化转型标杆企业2家，新增上云企业150家、上平台企业12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4.服务解忧展现新作为。根据《岳阳市云溪区实施创新驱动促进高质量发展的激励措施》（岳云政办发〔2021〕12号）文件精神，我局牵头组织了统计、商粮、发改等相关单位对符合申报激励奖励条件的企业，按照从优、从高、同类别不重复计算的原则，提请区政府对高企认定、研发奖补、专精特新企业培育、企业上市等项目奖励资金共842.44万元；围绕转型升级、研发奖补和“万千百”工程重点项目建设，我局积极对接上级部门，及时了解掌握政策方向，帮助企业争取更多上级政策资金支持，为企业做强做大发挥积极作用。今年已组织企业申报项目112个，已到位2348万元，预计全年争资金额3000万元左右；深入推进重点企业帮扶行动，联合区委、区政府督查室对59家部门单位开展了重点企业帮扶工作专项督查，并对4家企业实施上门走访、60家企业电话回访，目前已交办招工难、融资难、要素保障难等3类56个问题于责任单位，惠及企业43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二、2024年，实施争先晋位三大工程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总的指导思想是：以强科技创新生态链、稳工业经济基本盘、蓄数字转型新动能为出发点，以省级创新型区建设为抓手，聚焦乙烯炼化一体化、己内酰胺两大“立省项目”，立足现代石化产业链数字化转型时代浪潮，努力争创科技创新、“万千百工程”“智赋万企”三项省政府真抓实干督查激励先进，彰显科工担当。主要奋斗目标是：2024年全社会研发投入达到15亿元，占GDP比重达2.6%以上，完成新增高新技术企业10家、科技型中小企业入库140家目标，新增规模工业企业4家、专精特新企业3家，争项争资金额达到3000万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1.大力实施创新驱动工程，全面引导产业创新。一是全面推进现代石化产业科技创新，组织召开全区科技创新大会，按照《湖南省创新型县（市、区）建设专项资金使用方案》，推动现代石化产业链龙头企业、重点企业加大对新产品、新技术的研发投入力度；二是加速 “产学研用”协同创新，组建潇湘要素大市场云溪工作站，依托各类科技创新平台的整合升级，争取中石化催化剂、长炼新材料成为省级成果转化和产业化中试基地，助推产业协同研究院做强做大；三是全面激发创新活力，切实发挥出激励政策的价值驱动和战略牵引作用，及时修订完善《激励措施》，让财政资金在企业研发投入、成果转化、技术创新、人才培育方面发挥作用更加精准有力，营造浓厚的创新创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2.大力实施转型升级工程，持续增强发展后劲。一是全面掌握在建现代石化万亿产业企业项目及其建设进度，推动企业尽早建成投产，及时组织申请入规，同时密切关注“个转企”情况，及时发现和挖掘“规下”工业企业，从政策资金等方面大力扶持“规下”企业发展，引导其实现“小升规”；二是开展优质企业培育工程，指导全区企业积极参与国家级“小巨人”和省级专精特新中小企业、高新技术企业、龙头企业、单项冠军企业及系列标杆企业的申报认定工作，进一步培优企业，提升企业知名度；三是紧盯聚仁化工、长炼新材料等一批重点潜力企业进行集中培育，探索建立以价值创造为目的，以提升效率和效益为导向，以数字技术驱动全产业链业务变革的数字化转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40" w:firstLineChars="200"/>
        <w:jc w:val="both"/>
        <w:textAlignment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i w:val="0"/>
          <w:iCs w:val="0"/>
          <w:caps w:val="0"/>
          <w:color w:val="333333"/>
          <w:spacing w:val="0"/>
          <w:sz w:val="22"/>
          <w:szCs w:val="22"/>
          <w:bdr w:val="none" w:color="auto" w:sz="0" w:space="0"/>
        </w:rPr>
        <w:t>　　3.大力实施惠企帮扶工程，不断提升服务水平。一是进一步健全中小企业公共服务体系，加强企业项目申报业务指导，积极开展政策咨询、申报培训等活动，规范申报审批程序，加强项目谋划储备，积极跟踪项目评审等工作；二是聚焦企业急难愁盼的问题和制约创业创新发展的痛点难点，切实发挥区领导小组办公室作用，积极开展重点企业帮扶等服务，同时督促各帮扶责任单位切实发挥帮扶第一责任人作用，对照重点企业帮扶督办问题开展自查，对梳理出的问题主动作为，促进企业节约成本、精简办事流程，加速企业项目落地，免除企业发展后顾之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GI0MDdmMTlmNjM2ZGFkOTczNDk5MjBhOTMxOTYifQ=="/>
  </w:docVars>
  <w:rsids>
    <w:rsidRoot w:val="74122621"/>
    <w:rsid w:val="7412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2024-03-14T08:08:00Z</dcterms:created>
  <dc:creator>L</dc:creator>
  <cp:lastModifiedBy>L</cp:lastModifiedBy>
  <dcterms:modified xsi:type="dcterms:W3CDTF">2024-03-14T08:09:25Z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A0A8ACDD540F4BDC9D945A19329062FD_11</vt:lpwstr>
  </property>
</Properties>
</file>